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SeeStrOV — Verkehrstrennungsgebiete</w:t>
      </w:r>
    </w:p>
    <w:p>
      <w:r>
        <w:rPr>
          <w:color w:val="555555"/>
          <w:sz w:val="18"/>
        </w:rPr>
        <w:t xml:space="preserve">Verordnung zu den Internationalen Regeln von 1972 zur Verhütung von Zusammenstößen auf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Verkehrstrennungsgebiete sind Schiffahrtswege, die durch Trennlinien oder Trennzonen oder anderweitig in Einbahnwege geteilt sind, auf denen jeweils nur in Fahrtrichtung rechts der Trennlinie oder Trennzone gefahren werden darf.</w:t>
      </w:r>
    </w:p>
    <w:p>
      <w:r>
        <w:t xml:space="preserve">(2) Regel 10 der Internationale Regeln gilt für die Verkehrstrennungsgebiete, die von der Internationalen Seeschiffahrts-Organisation (IMO) angenommen und in den Nachrichten für Seefahrer (Amtliche Veröffentlichung für die Seeschiffahrt des Bundesamtes für Seeschiffahrt und Hydrographie) bekanntgemacht worden sind.</w:t>
      </w:r>
    </w:p>
    <w:p>
      <w:r>
        <w:rPr>
          <w:color w:val="555555"/>
          <w:sz w:val="17"/>
        </w:rPr>
        <w:t xml:space="preserve">Zitiervorschlag: § 6 SeeStrOV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