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Regel 39 SeeStrO 1972 — Begriffsbestimmungen</w:t>
      </w:r>
    </w:p>
    <w:p>
      <w:r>
        <w:rPr>
          <w:color w:val="555555"/>
          <w:sz w:val="18"/>
        </w:rPr>
        <w:t xml:space="preserve">Kollisionsverhütungsregeln</w:t>
      </w:r>
    </w:p>
    <w:p>
      <w:r>
        <w:rPr>
          <w:color w:val="555555"/>
          <w:sz w:val="18"/>
        </w:rPr>
        <w:t xml:space="preserve">Stand: 03.03.2022 (konsolidierte Textfassung, kein amtliches Inkrafttretensdatum)</w:t>
      </w:r>
    </w:p>
    <w:p>
      <w:pPr>
        <w:ind w:left="420"/>
      </w:pPr>
      <w:r>
        <w:t xml:space="preserve">a) “Audit” bezeichnet ein systematisches, unabhängiges und dokumentiertes Verfahren, das dazu dient, Auditnachweise zu erlangen und objektiv auszuwerten, um zu ermitteln, inwieweit die Auditkriterien erfüllt sind.</w:t>
      </w:r>
    </w:p>
    <w:p>
      <w:pPr>
        <w:ind w:left="420"/>
      </w:pPr>
      <w:r>
        <w:t xml:space="preserve">b) “Auditsystem” bezeichnet das von der Organisation unter Berücksichtigung der von ihr ausgearbeiteten Richtlinien[**] eingerichtete Auditsystem der IMO-Mitgliedstaaten.</w:t>
      </w:r>
    </w:p>
    <w:p>
      <w:pPr>
        <w:ind w:left="420"/>
      </w:pPr>
      <w:r>
        <w:t xml:space="preserve">c) “Anwendungscode” bezeichnet den von der Organisation mit Entschließung A.1070(28) angenommenen Code für die Anwendung der IMO-Instrumente (III-Code).</w:t>
      </w:r>
    </w:p>
    <w:p>
      <w:pPr>
        <w:ind w:left="420"/>
      </w:pPr>
      <w:r>
        <w:t xml:space="preserve">d) “Auditnorm” bezeichnet den Anwendungscode.</w:t>
      </w:r>
    </w:p>
    <w:p>
      <w:r>
        <w:t xml:space="preserve">** Framework and Procedures for the IMO Member State Audit Scheme, adopted by the Organization by resolution A.1067(28).</w:t>
      </w:r>
    </w:p>
    <w:p>
      <w:r>
        <w:rPr>
          <w:color w:val="555555"/>
          <w:sz w:val="17"/>
        </w:rPr>
        <w:t xml:space="preserve">Zitiervorschlag: Regel 39 SeeStrO 1972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https://recht.nulegal.eu/gesetze/SeeStrO%201972/regel-39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