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38 SeeStrO 1972 — Befreiungen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Ein Fahrzeug (oder eine Fahrzeugklasse), das (die) vor dem Inkrafttreten dieser Regeln auf Kiel gelegt wurde oder sich in einem entsprechenden Bauzustand befand, kann, wenn es (sie) den Vorschriften der Internationalen Regeln von 1960 zur Verhütung von Zusammenstößen auf See entspricht, von der Befolgung der vorliegenden Regeln wie folgt befreit werden:</w:t>
      </w:r>
    </w:p>
    <w:p>
      <w:pPr>
        <w:ind w:left="420"/>
      </w:pPr>
      <w:r>
        <w:t xml:space="preserve">a) Einbau der Lichter mit den in Regel 22 vorgeschriebenen Tragweiten innerhalb von vier Jahren nach dem Tag des Inkrafttretens dieser Regeln.</w:t>
      </w:r>
    </w:p>
    <w:p>
      <w:pPr>
        <w:ind w:left="420"/>
      </w:pPr>
      <w:r>
        <w:t xml:space="preserve">b) Einbau der Lichter mit den Farben nach Abschnitt 7 der Anlage I innerhalb von vier Jahren nach dem Tag des Inkrafttretens dieser Regeln.</w:t>
      </w:r>
    </w:p>
    <w:p>
      <w:pPr>
        <w:ind w:left="420"/>
      </w:pPr>
      <w:r>
        <w:t xml:space="preserve">c) Dauernde Befreiung von der Versetzung der Lichter als Folge des Übergangs von britischen in metrische Maße und deren Abrundung.</w:t>
      </w:r>
    </w:p>
    <w:p>
      <w:pPr>
        <w:ind w:left="780"/>
      </w:pPr>
      <w:r>
        <w:t xml:space="preserve">i) Dauernde Befreiung von der Versetzung der Topplichter auf Fahrzeugen von weniger als 150 Meter Länge nach den Vorschriften des Abschnitts 3 Buchstabe a der Anlage I.</w:t>
      </w:r>
    </w:p>
    <w:p>
      <w:pPr>
        <w:ind w:left="780"/>
      </w:pPr>
      <w:r>
        <w:t xml:space="preserve">ii) Versetzung der Topplichter auf Fahrzeugen von 150 und mehr Meter Länge nach den Vorschriften des Abschnitts 3 Buchstabe a der Anlage I innerhalb von neun Jahren nach dem Tag des Inkrafttretens dieser Regeln.</w:t>
      </w:r>
    </w:p>
    <w:p>
      <w:pPr>
        <w:ind w:left="420"/>
      </w:pPr>
      <w:r>
        <w:t xml:space="preserve">e) Versetzung der Topplichter nach den Vorschriften des Abschnitts 2 Buchstabe b der Anlage I innerhalb von neun Jahren nach dem Tag des Inkrafttretens dieser Regeln.</w:t>
      </w:r>
    </w:p>
    <w:p>
      <w:pPr>
        <w:ind w:left="420"/>
      </w:pPr>
      <w:r>
        <w:t xml:space="preserve">f) Versetzung der Seitenlichter nach den Vorschriften des Abschnitts 2 Buchstabe g und des Abschnitts 3 Buchstabe b der Anlage I innerhalb von neun Jahren nach dem Tag des Inkrafttretens dieser Regeln.</w:t>
      </w:r>
    </w:p>
    <w:p>
      <w:pPr>
        <w:ind w:left="420"/>
      </w:pPr>
      <w:r>
        <w:t xml:space="preserve">g) Vorschriften über Schallsignalanlagen nach Anlage III innerhalb von neun Jahren nach dem Tag des Inkrafttretens dieser Regeln.</w:t>
      </w:r>
    </w:p>
    <w:p>
      <w:pPr>
        <w:ind w:left="420"/>
      </w:pPr>
      <w:r>
        <w:t xml:space="preserve">h) Dauernde Befreiung von der Versetzung der Rundumlichter nach den Vorschriften des Abschnitts 9 Buchstabe b der Anlage I.</w:t>
      </w:r>
    </w:p>
    <w:p>
      <w:r>
        <w:rPr>
          <w:color w:val="555555"/>
          <w:sz w:val="17"/>
        </w:rPr>
        <w:t xml:space="preserve">Zitiervorschlag: Regel 38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