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Regel 29 SeeStrO 1972 — Lotsenfahrzeuge</w:t>
      </w:r>
    </w:p>
    <w:p>
      <w:r>
        <w:rPr>
          <w:color w:val="555555"/>
          <w:sz w:val="18"/>
        </w:rPr>
        <w:t xml:space="preserve">Kollisionsverhütungsregeln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a) Ein Fahrzeug im Lotsdienst muß führen</w:t>
      </w:r>
    </w:p>
    <w:p>
      <w:pPr>
        <w:ind w:left="780"/>
      </w:pPr>
      <w:r>
        <w:t xml:space="preserve">i) an oder nahe dem Masttopp zwei Rundumlichter senkrecht übereinander, das obere weiß und das untere rot;</w:t>
      </w:r>
    </w:p>
    <w:p>
      <w:pPr>
        <w:ind w:left="780"/>
      </w:pPr>
      <w:r>
        <w:t xml:space="preserve">ii) in Fahrt zusätzlich Seitenlichter und ein Hecklicht;</w:t>
      </w:r>
    </w:p>
    <w:p>
      <w:pPr>
        <w:ind w:left="780"/>
      </w:pPr>
      <w:r>
        <w:t xml:space="preserve">iii) vor Anker zusätzlich zu den unter Ziffer i vorgeschriebenen Lichtern das Licht oder die Lichter oder den Signalkörper, die in Regel 30 für Fahrzeuge vor Anker vorgeschrieben sind.</w:t>
      </w:r>
    </w:p>
    <w:p>
      <w:r>
        <w:t xml:space="preserve">b) Ein Lotsenfahrzeug, das nicht im Lotsdienst ist, muß die für ein Fahrzeug seiner Länge vorgeschriebenen Lichter oder Signalkörper führen.</w:t>
      </w:r>
    </w:p>
    <w:p>
      <w:r>
        <w:rPr>
          <w:color w:val="555555"/>
          <w:sz w:val="17"/>
        </w:rPr>
        <w:t xml:space="preserve">Zitiervorschlag: Regel 29 SeeStrO 1972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https://recht.nulegal.eu/gesetze/SeeStrO%201972/regel-29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