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23 SeeStrO 1972 — Maschinenfahrzeuge in Fahrt</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Maschinenfahrzeug in Fahrt muß führen</w:t>
      </w:r>
    </w:p>
    <w:p>
      <w:pPr>
        <w:ind w:left="780"/>
      </w:pPr>
      <w:r>
        <w:t xml:space="preserve">i) ein Topplicht vorn;</w:t>
      </w:r>
    </w:p>
    <w:p>
      <w:pPr>
        <w:ind w:left="780"/>
      </w:pPr>
      <w:r>
        <w:t xml:space="preserve">ii) ein zweites Topplicht achterlicher und höher als das vordere; ein Fahrzeug von weniger als 50 Meter Länge kann ein solches Licht führen, ist jedoch nicht dazu verpflichtet;</w:t>
      </w:r>
    </w:p>
    <w:p>
      <w:pPr>
        <w:ind w:left="780"/>
      </w:pPr>
      <w:r>
        <w:t xml:space="preserve">iii) Seitenlichter;</w:t>
      </w:r>
    </w:p>
    <w:p>
      <w:pPr>
        <w:ind w:left="780"/>
      </w:pPr>
      <w:r>
        <w:t xml:space="preserve">iv) ein Hecklicht.</w:t>
      </w:r>
    </w:p>
    <w:p>
      <w:r>
        <w:t xml:space="preserve">b) Ein Luftkissenfahrzeug, das im nicht wasserverdrängenden Zustand navigiert, muß außer den unter Buchstabe a vorgeschriebenen Lichtern ein gelbes Rundumlicht als Funkellicht führen. c) Nur bei Start, Landung und oberflächennahem Flug muss ein Bodeneffektfahrzeug zusätzlich zu den unter Buchstabe a vorgeschriebenen Lichtern ein leistungsstarkes rotes Rundumlicht als Funkellicht führen.</w:t>
      </w:r>
    </w:p>
    <w:p>
      <w:pPr>
        <w:ind w:left="1140"/>
      </w:pPr>
      <w:r>
        <w:t xml:space="preserve">i) Ein Maschinenfahrzeug von weniger als 12 Meter Länge darf an Stelle der unter Buchstabe a vorgeschriebenen Lichter ein weißes Rundumlicht und Seitenlichter führen;</w:t>
      </w:r>
    </w:p>
    <w:p>
      <w:pPr>
        <w:ind w:left="1140"/>
      </w:pPr>
      <w:r>
        <w:t xml:space="preserve">ii) ein Maschinenfahrzeug von weniger als 7 Meter Länge, dessen Höchstgeschwindigkeit 7 Knoten nicht übersteigt, darf an Stelle der unter Buchstabe a vorgeschriebenen Lichter ein weißes Rundumlicht und muß, wenn möglich, außerdem Seitenlichter führen;</w:t>
      </w:r>
    </w:p>
    <w:p>
      <w:pPr>
        <w:ind w:left="1140"/>
      </w:pPr>
      <w:r>
        <w:t xml:space="preserve">iii) das Topplicht oder das weiße Rundumlicht auf einem Maschinenfahrzeug von weniger als 12 Meter Länge darf außerhalb der Längsachse des Fahrzeugs geführt werden, wenn die Anbringung über der Längsachse nicht möglich ist, vorausgesetzt, daß die Seitenlichter in einer Zweifarbenlaterne über der Längsachse des Fahrzeugs geführt oder so nahe wie möglich in derselben Längsachse wie das Topplicht oder das weiße Rundumlicht angebracht werden.</w:t>
      </w:r>
    </w:p>
    <w:p>
      <w:r>
        <w:rPr>
          <w:color w:val="555555"/>
          <w:sz w:val="17"/>
        </w:rPr>
        <w:t xml:space="preserve">Zitiervorschlag: Regel 23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