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Regel 11 SeeStrO 1972 — Anwendung</w:t>
      </w:r>
    </w:p>
    <w:p>
      <w:r>
        <w:rPr>
          <w:color w:val="555555"/>
          <w:sz w:val="18"/>
        </w:rPr>
        <w:t xml:space="preserve">Kollisionsverhütungsregeln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Regeln dieses Abschnitts gelten für Fahrzeuge, die einander in Sicht haben.</w:t>
      </w:r>
    </w:p>
    <w:p>
      <w:r>
        <w:rPr>
          <w:color w:val="555555"/>
          <w:sz w:val="17"/>
        </w:rPr>
        <w:t xml:space="preserve">Zitiervorschlag: Regel 11 SeeStrO 1972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https://recht.nulegal.eu/gesetze/SeeStrO%201972/regel-11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