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Regel 10 SeeStrO 1972 — Verkehrstrennungsgebiete</w:t>
      </w:r>
    </w:p>
    <w:p>
      <w:r>
        <w:rPr>
          <w:color w:val="555555"/>
          <w:sz w:val="18"/>
        </w:rPr>
        <w:t xml:space="preserve">Kollisionsverhütungsregeln</w:t>
      </w:r>
    </w:p>
    <w:p>
      <w:r>
        <w:rPr>
          <w:color w:val="555555"/>
          <w:sz w:val="18"/>
        </w:rPr>
        <w:t xml:space="preserve">Stand: 10.06.2019 (konsolidierte Textfassung, kein amtliches Inkrafttretensdatum)</w:t>
      </w:r>
    </w:p>
    <w:p>
      <w:r>
        <w:t xml:space="preserve">a) Diese Regel gilt in Verkehrstrennungsgebieten, die von der Organisation festgelegt worden sind; sie befreit ein Fahrzeug nicht von seiner Verpflichtung auf Grund einer anderen Regel. b) Ein Fahrzeug, das ein Verkehrstrennungsgebiet benutzt, muß</w:t>
      </w:r>
    </w:p>
    <w:p>
      <w:pPr>
        <w:ind w:left="780"/>
      </w:pPr>
      <w:r>
        <w:t xml:space="preserve">i) auf dem entsprechenden Einbahnweg in der allgemeinen Verkehrsrichtung dieses Weges fahren;</w:t>
      </w:r>
    </w:p>
    <w:p>
      <w:pPr>
        <w:ind w:left="780"/>
      </w:pPr>
      <w:r>
        <w:t xml:space="preserve">ii) sich, soweit möglich, von der Trennlinie oder der Trennzone klar halten;</w:t>
      </w:r>
    </w:p>
    <w:p>
      <w:pPr>
        <w:ind w:left="780"/>
      </w:pPr>
      <w:r>
        <w:t xml:space="preserve">iii) in der Regel an den Enden des Einbahnwegs ein- oder auslaufen; wenn es jedoch von der Seite ein- oder ausläuft, muß dies in einem möglichst kleinen Winkel zur allgemeinen Verkehrsrichtung erfolgen.</w:t>
      </w:r>
    </w:p>
    <w:p>
      <w:r>
        <w:t xml:space="preserve">c) Ein Fahrzeug muß soweit wie möglich das Queren von Einbahnwegen vermeiden; ist es jedoch zum Queren gezwungen, so muß dies möglichst mit der Kielrichtung im rechten Winkel zur allgemeinen Verkehrsrichtung erfolgen. d)</w:t>
      </w:r>
    </w:p>
    <w:p>
      <w:pPr>
        <w:ind w:left="780"/>
      </w:pPr>
      <w:r>
        <w:t xml:space="preserve">i) Ein Fahrzeug darf eine Küstenverkehrszone nicht benutzen, wenn es den entsprechenden Einbahnweg des angrenzenden Verkehrstrennungsgebiets sicher befahren kann. Fahrzeuge von weniger als 20 Meter Länge, Segelfahrzeuge und fischende Fahrzeuge dürfen die Küstenverkehrszone jedoch benutzen.</w:t>
      </w:r>
    </w:p>
    <w:p>
      <w:pPr>
        <w:ind w:left="780"/>
      </w:pPr>
      <w:r>
        <w:t xml:space="preserve">ii) Ungeachtet der Ziffer i darf ein Fahrzeug eine Küstenverkehrszone benutzen, wenn es sich auf dem Weg zu oder von einem Hafen, einer Einrichtung oder einem Bauwerk vor der Küste, einer Lotsenstation oder einem sonstigen innerhalb der Küstenverkehrszone gelegenen Ort befindet, oder zur Abwendung einer unmittelbaren Gefahr.</w:t>
      </w:r>
    </w:p>
    <w:p>
      <w:r>
        <w:t xml:space="preserve">e) Außer beim Queren oder beim Einlaufen in einen Einbahnweg oder beim Verlassen eines Einbahnweges darf ein Fahrzeug in der Regel nicht in eine Trennzone einlaufen oder eine Trennlinie überfahren, ausgenommen</w:t>
      </w:r>
    </w:p>
    <w:p>
      <w:pPr>
        <w:ind w:left="780"/>
      </w:pPr>
      <w:r>
        <w:t xml:space="preserve">i) in Notfällen zur Abwendung einer unmittelbaren Gefahr;</w:t>
      </w:r>
    </w:p>
    <w:p>
      <w:pPr>
        <w:ind w:left="780"/>
      </w:pPr>
      <w:r>
        <w:t xml:space="preserve">ii) zum Fischen innerhalb einer Trennzone.</w:t>
      </w:r>
    </w:p>
    <w:p>
      <w:r>
        <w:t xml:space="preserve">f) Im Bereich des Zu- und Abgangs der Verkehrstrennungsgebiete muß ein Fahrzeug mit besonderer Vorsicht fahren. g) Ein Fahrzeug muß das Ankern innerhalb eines Verkehrstrennungsgebiets oder im Bereich des Zu- und Abgangs soweit wie möglich vermeiden. h) Ein Fahrzeug, das ein Verkehrstrennungsgebiet nicht benutzt, muß von diesem einen möglichst großen Abstand halten. i) Ein fischendes Fahrzeug darf die Durchfahrt eines Fahrzeugs auf dem Einbahnweg nicht behindern. j) Ein Fahrzeug von weniger als 20 Meter Länge oder ein Segelfahrzeug darf die sichere Durchfahrt eines Maschinenfahrzeugs auf dem Einbahnweg nicht behindern. k) Ein manövrierbehindertes Fahrzeug, das in einem Verkehrstrennungsgebiet Arbeiten zur Aufrechterhaltung der Sicherheit der Schiffahrt durchführt, ist von der Befolgung dieser Regel befreit, soweit dies zur Ausführung der Arbeiten erforderlich ist. l) Ein manövrierbehindertes Fahrzeug, das in einem Verkehrstrennungsgebiet Unterwasserkabel auslegt, versorgt oder aufnimmt, ist von der Befolgung dieser Regel befreit, soweit dies zur Ausführung der Arbeiten erforderlich ist.</w:t>
      </w:r>
    </w:p>
    <w:p>
      <w:r>
        <w:rPr>
          <w:color w:val="555555"/>
          <w:sz w:val="17"/>
        </w:rPr>
        <w:t xml:space="preserve">Zitiervorschlag: Regel 10 SeeStrO 1972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https://recht.nulegal.eu/gesetze/SeeStrO%201972/regel-10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