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Regel 1 SeeStrO 1972 — Anwendung</w:t>
      </w:r>
    </w:p>
    <w:p>
      <w:r>
        <w:rPr>
          <w:color w:val="555555"/>
          <w:sz w:val="18"/>
        </w:rPr>
        <w:t xml:space="preserve">Kollisionsverhütungsregeln</w:t>
      </w:r>
    </w:p>
    <w:p>
      <w:r>
        <w:rPr>
          <w:color w:val="555555"/>
          <w:sz w:val="18"/>
        </w:rPr>
        <w:t xml:space="preserve">Stand: 10.06.2019 (konsolidierte Textfassung, kein amtliches Inkrafttretensdatum)</w:t>
      </w:r>
    </w:p>
    <w:p>
      <w:r>
        <w:t xml:space="preserve">a) Diese Regeln gelten für alle Fahrzeuge auf Hoher See und auf den mit dieser zusammenhängenden, von Seeschiffen befahrbaren Gewässern. b) Diese Regeln berühren nicht die von einer zuständigen Behörde erlassenen Sondervorschriften für Reeden, Häfen, Flüsse, Seen oder Binnengewässer, die mit der Hohen See zusammenhängen und von Seeschiffen befahrbar sind. Solche Sondervorschriften müssen mit diesen Regeln soweit wie möglich übereinstimmen. c) Diese Regeln berühren nicht die von der Regierung eines Staates erlassenen Sondervorschriften über zusätzliche Positions- oder Signallichter, Signalkörper oder Schallsignale für Kriegsschiffe und Fahrzeuge im Geleit oder über zusätzliche Positions- oder Signallichter oder Signalkörper für fischende Fahrzeuge in einer Fangflotte. Diese zusätzlichen Positions- oder Signallichter, Signalkörper oder Schallsignale müssen nach Möglichkeit so beschaffen sein, daß sie nicht mit einem anderen, nach diesen Regeln zulässigen Licht, Signalkörper oder Schallsignal verwechselt werden können. d) Die Organisation kann für die Zwecke dieser Regeln Verkehrstrennungsgebiete festlegen. e) In allen Fällen, in denen eine Regierung feststellt, daß ein Fahrzeug besonderer Bauart oder Verwendung eine Regel über Anzahl, Anbringung, Tragweite oder Sichtbereich von Lichtern oder Signalkörpern sowie über Anordnung und Eigenschaften von Schallsignalanlagen nicht in vollem Umfang befolgen kann, muß das Fahrzeug diejenigen sonstigen Bestimmungen über Anzahl, Anbringung, Tragweite oder Sichtbereich von Lichtern oder Signalkörpern sowie über die Anordnung und Eigenschaften von Schallsignalanlagen befolgen, die nach Auffassung der betreffenden Regierung diesen Regeln am nächsten kommen.</w:t>
      </w:r>
    </w:p>
    <w:p>
      <w:r>
        <w:rPr>
          <w:color w:val="555555"/>
          <w:sz w:val="17"/>
        </w:rPr>
        <w:t xml:space="preserve">Zitiervorschlag: Regel 1 SeeStrO 1972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https://recht.nulegal.eu/gesetze/SeeStrO%201972/regel-1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