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IV SeeStrO 1972 — Notzeichen</w:t>
      </w:r>
    </w:p>
    <w:p>
      <w:r>
        <w:rPr>
          <w:color w:val="555555"/>
          <w:sz w:val="18"/>
        </w:rPr>
        <w:t xml:space="preserve">Kollisionsverhütungsregeln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1. Die folgenden Signale, die zusammen oder einzeln verwendet oder gezeigt werden, bedeuten Not und die Notwendigkeit der Hilfe:</w:t>
      </w:r>
    </w:p>
    <w:p>
      <w:pPr>
        <w:ind w:left="780"/>
      </w:pPr>
      <w:r>
        <w:t xml:space="preserve">a) Kanonenschüsse oder andere Knallsignale in Zwischenräumen von ungefähr einer Minute;</w:t>
      </w:r>
    </w:p>
    <w:p>
      <w:pPr>
        <w:ind w:left="780"/>
      </w:pPr>
      <w:r>
        <w:t xml:space="preserve">b) anhaltendes Ertönen eines Nebelsignalgeräts;</w:t>
      </w:r>
    </w:p>
    <w:p>
      <w:pPr>
        <w:ind w:left="780"/>
      </w:pPr>
      <w:r>
        <w:t xml:space="preserve">c) Raketen oder Leuchtkugeln mit roten Sternen einzeln in kurzen Zwischenräumen;</w:t>
      </w:r>
    </w:p>
    <w:p>
      <w:pPr>
        <w:ind w:left="780"/>
      </w:pPr>
      <w:r>
        <w:t xml:space="preserve">d) das durch eine beliebige Signalart gegebene Morsesignal ...---... (SOS);</w:t>
      </w:r>
    </w:p>
    <w:p>
      <w:pPr>
        <w:ind w:left="780"/>
      </w:pPr>
      <w:r>
        <w:t xml:space="preserve">e) das Sprechfunksignal aus dem gesprochenen Wort "Mayday";</w:t>
      </w:r>
    </w:p>
    <w:p>
      <w:pPr>
        <w:ind w:left="780"/>
      </w:pPr>
      <w:r>
        <w:t xml:space="preserve">f) das Notzeichen NC des Internationalen Signalbuchs;</w:t>
      </w:r>
    </w:p>
    <w:p>
      <w:pPr>
        <w:ind w:left="780"/>
      </w:pPr>
      <w:r>
        <w:t xml:space="preserve">g) ein Signal aus einer viereckigen Flagge, darüber oder darunter ein Ball oder etwas, das einem Ball ähnlich sieht;</w:t>
      </w:r>
    </w:p>
    <w:p>
      <w:pPr>
        <w:ind w:left="780"/>
      </w:pPr>
      <w:r>
        <w:t xml:space="preserve">h) Flammensignale auf dem Fahrzeug, z.B. brennende Teertonnen, Öltonnen oder dergleichen;</w:t>
      </w:r>
    </w:p>
    <w:p>
      <w:pPr>
        <w:ind w:left="780"/>
      </w:pPr>
      <w:r>
        <w:t xml:space="preserve">i) eine rote Fallschirm-Leuchtrakete oder eine rote Handfackel;</w:t>
      </w:r>
    </w:p>
    <w:p>
      <w:pPr>
        <w:ind w:left="780"/>
      </w:pPr>
      <w:r>
        <w:t xml:space="preserve">j) ein Rauchsignal mit orangefarbenem Rauch;</w:t>
      </w:r>
    </w:p>
    <w:p>
      <w:pPr>
        <w:ind w:left="780"/>
      </w:pPr>
      <w:r>
        <w:t xml:space="preserve">k) langsames und wiederholtes Heben und Senken der nach beiden Seiten ausgestreckten Arme;</w:t>
      </w:r>
    </w:p>
    <w:p>
      <w:pPr>
        <w:ind w:left="780"/>
      </w:pPr>
      <w:r>
        <w:t xml:space="preserve">l) ein Notalarm über das Digitale Selektivrufsystem (DSC), der ausgesandt wird auf:</w:t>
      </w:r>
    </w:p>
    <w:p>
      <w:pPr>
        <w:ind w:left="1140"/>
      </w:pPr>
      <w:r>
        <w:t xml:space="preserve">a) UKW-Kanal 70 oder</w:t>
      </w:r>
    </w:p>
    <w:p>
      <w:pPr>
        <w:ind w:left="1140"/>
      </w:pPr>
      <w:r>
        <w:t xml:space="preserve">b) den GW-/KW-Frequenzen 2187,5 kHz, 8414,5 kHz, 4207,5 kHz, 6312 kHz, 12577 kHz oder 16804,5 kHz;</w:t>
      </w:r>
    </w:p>
    <w:p>
      <w:pPr>
        <w:ind w:left="780"/>
      </w:pPr>
      <w:r>
        <w:t xml:space="preserve">m) ein Notalarm Schiff-Land, der über die Inmarsat-Anlage des Schiffes oder eine Schiffs-Erdfunkstelle eines anderen mobilen Satellitendienstanbieters übermittelt wird;</w:t>
      </w:r>
    </w:p>
    <w:p>
      <w:pPr>
        <w:ind w:left="780"/>
      </w:pPr>
      <w:r>
        <w:t xml:space="preserve">n) von einer Seenotfunkboje ausgestrahlte Funksignale;</w:t>
      </w:r>
    </w:p>
    <w:p>
      <w:pPr>
        <w:ind w:left="780"/>
      </w:pPr>
      <w:r>
        <w:t xml:space="preserve">o) zugelassene Signale, die über Funksysteme einschließlich Radartransponder auf Überlebensfahrzeugen übermittelt werden.</w:t>
      </w:r>
    </w:p>
    <w:p>
      <w:pPr>
        <w:ind w:left="420"/>
      </w:pPr>
      <w:r>
        <w:t xml:space="preserve">2. Die obengenannten Signale dürfen nur verwendet oder gezeigt werden, wenn Not und die Notwendigkeit der Hilfe vorliegen; die Verwendung von Signalen, die mit diesen Signalen verwechselt werden können, ist verboten.</w:t>
      </w:r>
    </w:p>
    <w:p>
      <w:pPr>
        <w:ind w:left="420"/>
      </w:pPr>
      <w:r>
        <w:t xml:space="preserve">3. Auf die betreffenden Abschnitte des Internationalen Signalbuchs, des Internationalen Handbuchs für die luftgestützte und maritime Suche und Rettung, Band III, und auf folgende Signale wird hingewiesen:</w:t>
      </w:r>
    </w:p>
    <w:p>
      <w:pPr>
        <w:ind w:left="780"/>
      </w:pPr>
      <w:r>
        <w:t xml:space="preserve">a) ein Stück orangefarbenes Segeltuch mit einem schwarzen Quadrat oder Kreis oder mit einem anderen entsprechenden Zeichen (zur Erkennung aus der Luft);</w:t>
      </w:r>
    </w:p>
    <w:p>
      <w:pPr>
        <w:ind w:left="780"/>
      </w:pPr>
      <w:r>
        <w:t xml:space="preserve">b) ein Seewasserfärber.</w:t>
      </w:r>
    </w:p>
    <w:p>
      <w:r>
        <w:rPr>
          <w:color w:val="555555"/>
          <w:sz w:val="17"/>
        </w:rPr>
        <w:t xml:space="preserve">Zitiervorschlag: Anlage IV SeeStrO 1972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https://recht.nulegal.eu/gesetze/SeeStrO%201972/anlage-iv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