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SeeSpbootV — Bootszeugnis</w:t>
      </w:r>
    </w:p>
    <w:p>
      <w:r>
        <w:rPr>
          <w:color w:val="555555"/>
          <w:sz w:val="18"/>
        </w:rPr>
        <w:t xml:space="preserve">See-Sportbootverordnung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Bootszeugnis (Anlage 1) wird auf Antrag des Unternehmers erteilt. Es wird auf die Dauer von zwei Jahren, bei Werftneubauten auf die Dauer von drei Jahren, befristet; eine anschließende Verlängerung um jeweils zwei Jahre ist nach vorheriger Untersuchung möglich.</w:t>
      </w:r>
    </w:p>
    <w:p>
      <w:r>
        <w:t xml:space="preserve">(2) Das Bootszeugnis kann unter Bedingungen erteilt und mit Auflagen verbunden werden.</w:t>
      </w:r>
    </w:p>
    <w:p>
      <w:r>
        <w:t xml:space="preserve">(3) Das Bootszeugnis kann durch ein gültiges Sicherheitszeugnis nach § 14 ersetzt werden.</w:t>
      </w:r>
    </w:p>
    <w:p>
      <w:r>
        <w:t xml:space="preserve">(4) Die Erteilung des Bootszeugnisses ist zu widerrufen, wenn</w:t>
      </w:r>
    </w:p>
    <w:p>
      <w:pPr>
        <w:ind w:left="420"/>
      </w:pPr>
      <w:r>
        <w:t xml:space="preserve">1. das Wasserfahrzeug seine Eigenschaft als Sportboot im Sinne dieser Verordnung verliert oder wesentliche Ausrüstungsgegenstände funktionsuntüchtig oder nicht mehr vorhanden sind oder</w:t>
      </w:r>
    </w:p>
    <w:p>
      <w:pPr>
        <w:ind w:left="420"/>
      </w:pPr>
      <w:r>
        <w:t xml:space="preserve">2. das Sportboot mit Gestellung eines Bootsführers oder einer Besatzung oder zum Zweck der gewerbsmäßigen Nutzung vermietet wird und nicht über ein gültiges Sicherheitszeugnis nach § 14 verfügt.</w:t>
      </w:r>
    </w:p>
    <w:p>
      <w:r>
        <w:t xml:space="preserve">Die §§ 48, 49 des Verwaltungsverfahrensgesetzes bleiben unberührt. Ein wegen Rücknahme oder Widerruf ungültig gewordenes Bootszeugnis ist von der Zulassungsbehörde einzuziehen.</w:t>
      </w:r>
    </w:p>
    <w:p>
      <w:r>
        <w:t xml:space="preserve">(5) Zulassungsbehörde ist das Wasserstraßen- und Schifffahrtsamt, in dessen Bezirk das Sportboot oder Wassermotorrad seinen ständigen Liegeplatz hat oder in dem sich die Betriebsstätte des Unternehmers befindet.</w:t>
      </w:r>
    </w:p>
    <w:p>
      <w:r>
        <w:t xml:space="preserve">(6) Für Sportboote oder Wassermotorräder, die nicht vermietet werden, kann auf Antrag ein Bootszeugnis erteilt werden.</w:t>
      </w:r>
    </w:p>
    <w:p>
      <w:r>
        <w:rPr>
          <w:color w:val="555555"/>
          <w:sz w:val="17"/>
        </w:rPr>
        <w:t xml:space="preserve">Zitiervorschlag: § 5 SeeSpbootV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https://recht.nulegal.eu/gesetze/SeeSpbootV/5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