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SeeSpbootV — Kennzeichnung von Wassermotorrädern im Inland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Wassermotorräder dürfen nur in Betrieb genommen werden, wenn sie mit einem gültigen amtlichen Kennzeichen nach § 4 Abs. 1 in Verbindung mit Anlage 1 der Verordnung über die Kennzeichnung von auf Binnenschifffahrtsstraßen verkehrenden Kleinfahrzeugen vom 21. Februar 1995 (BGBl. I S. 226), die zuletzt durch Artikel 30 des Gesetzes vom 8. November 2011 (BGBl. I S. 2178) geändert worden ist, in der jeweils geltenden Fassung versehen sind.</w:t>
      </w:r>
    </w:p>
    <w:p>
      <w:r>
        <w:t xml:space="preserve">(2) Für die Zuteilung des amtlichen Kennzeichens durch das nach § 5 Abs. 5 zuständige Wasserstraßen- und Schifffahrtsamt gelten die Vorschriften der §§ 7 und 8 Abs. 1, 2 und 4 der Verordnung über die Kennzeichnung von auf Binnenschifffahrtsstraßen verkehrenden Kleinfahrzeugen entsprechend. Die Kennzeichnung mit einem amtlich anerkannten Kennzeichen im Sinne des § 5 der vorgenannten Verordnung ist nicht zulässig.</w:t>
      </w:r>
    </w:p>
    <w:p>
      <w:r>
        <w:t xml:space="preserve">(3) Für die Verpflichtung zur Mitteilung von Änderungen gilt § 9 der Verordnung über die Kennzeichnung von auf Binnenschifffahrtsstraßen verkehrenden Kleinfahrzeugen entsprechend.</w:t>
      </w:r>
    </w:p>
    <w:p>
      <w:r>
        <w:t xml:space="preserve">(4) Absatz 1 gilt nicht für Wassermotorräder, die durch Führen einer Flagge oder durch Aufschriften als Wasserrettungsfahrzeuge einer als gemeinnützig anerkannten Körperschaft gekennzeichnet sind.</w:t>
      </w:r>
    </w:p>
    <w:p>
      <w:r>
        <w:rPr>
          <w:color w:val="555555"/>
          <w:sz w:val="17"/>
        </w:rPr>
        <w:t xml:space="preserve">Zitiervorschlag: § 4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