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SeeSpbootV — Begriffsbestimmungen</w:t>
      </w:r>
    </w:p>
    <w:p>
      <w:r>
        <w:rPr>
          <w:color w:val="555555"/>
          <w:sz w:val="18"/>
        </w:rPr>
        <w:t xml:space="preserve">See-Sportbootverordnung</w:t>
      </w:r>
    </w:p>
    <w:p>
      <w:r>
        <w:rPr>
          <w:color w:val="555555"/>
          <w:sz w:val="18"/>
        </w:rPr>
        <w:t xml:space="preserve">Stand: 04.12.2024 (konsolidierte Textfassung, kein amtliches Inkrafttretensdatum)</w:t>
      </w:r>
    </w:p>
    <w:p>
      <w:r>
        <w:t xml:space="preserve">(1) Im Sinne dieser Verordnung sind</w:t>
      </w:r>
    </w:p>
    <w:p>
      <w:pPr>
        <w:ind w:left="420"/>
      </w:pPr>
      <w:r>
        <w:t xml:space="preserve">1. SportbooteWasserfahrzeuge im Sinne der Richtlinie 2013/53/EU des Europäischen Parlaments und des Rates vom 20. November 2013 über Sportboote und Wassermotorräder und zur Aufhebung der Richtlinie 94/25/EG (ABl. L 354 vom 28.12.2013, S. 90; L 297 vom 13.11.2015, S. 9), die zu Sport- und Freizeitzwecken bestimmt sind,</w:t>
      </w:r>
    </w:p>
    <w:p>
      <w:pPr>
        <w:ind w:left="420"/>
      </w:pPr>
      <w:r>
        <w:t xml:space="preserve">2. Sport- und Freizeitzweckedie nicht gewerbsmäßige Nutzung eines Wasserfahrzeugs zu wassersportlichen Aktivitäten, zur Fortbewegung, zur Erholung oder zum Vergnügen an Bord; Sport- und Freizeitzwecke liegen nicht vor bei kulturellen, politischen, religiösen, wissenschaftlichen, künstlerischen, wohltätigen und humanitären Aktivitäten oder vergleichbaren ideellen Zwecken,</w:t>
      </w:r>
    </w:p>
    <w:p>
      <w:pPr>
        <w:ind w:left="420"/>
      </w:pPr>
      <w:r>
        <w:t xml:space="preserve">3. große SportbooteSportboote mit Kajüte und Übernachtungsmöglichkeiten, die für Fahrten seewärts der Basislinie (Küstenmeer, küstennahe Seegewässer, Hohe See) geeignet und bestimmt sind, insbesondere Segel- und Motoryachten,</w:t>
      </w:r>
    </w:p>
    <w:p>
      <w:pPr>
        <w:ind w:left="420"/>
      </w:pPr>
      <w:r>
        <w:t xml:space="preserve">4. kleine SportbooteSportboote, die für Fahrten binnenwärts der Basislinie (andere Gewässer) oder in Strandnähe geeignet und bestimmt sind, insbesondere offene Segel-, Motor-, Ruder-, Falt-, Schlauch- und Wassertretboote,</w:t>
      </w:r>
    </w:p>
    <w:p>
      <w:pPr>
        <w:ind w:left="420"/>
      </w:pPr>
      <w:r>
        <w:t xml:space="preserve">5. WassermotorräderWasserfahrzeuge mit weniger als vier Meter Länge, die einen Verbrennungsmotor mit Strahlpumpenantrieb als Hauptantriebsquelle verwenden und die dazu ausgelegt sind, von einer oder mehreren Personen gefahren zu werden, die nicht in, sondern auf dem Rumpf sitzen, stehen oder knien,</w:t>
      </w:r>
    </w:p>
    <w:p>
      <w:pPr>
        <w:ind w:left="420"/>
      </w:pPr>
      <w:r>
        <w:t xml:space="preserve">6. Vermietungdie gegen Entgelt erfolgende Überlassung eines Sportbootes oder Wassermotorrades zum Gebrauch an laufend wechselnde Mieter ohne Gestellung eines Bootsführers oder einer Besatzung und ohne dass der Mieter das Sportboot gewerbsmäßig nutzt,</w:t>
      </w:r>
    </w:p>
    <w:p>
      <w:pPr>
        <w:ind w:left="420"/>
      </w:pPr>
      <w:r>
        <w:t xml:space="preserve">7. gewerbsmäßige Nutzungdie öffentlich einem unbestimmten Personenkreis mit einer gewissen Regelmäßigkeit angebotene Beförderung von Personen oder Ladung gegen Entgelt oder die Erbringung von Dienstleistungen gegen Entgelt einschließlich der Sportausbildung, ohne Vermietung zu sein; eine Gewinnerzielungsabsicht ist nicht erforderlich,</w:t>
      </w:r>
    </w:p>
    <w:p>
      <w:pPr>
        <w:ind w:left="420"/>
      </w:pPr>
      <w:r>
        <w:t xml:space="preserve">8. Sportausbildungdie Ausbildung zum Führen von Sportbooten auf Grundlage eines schriftlichen Lehrprogramms, insbesondere zum Erwerb des Sportbootführerschein nach der Sportbootführerscheinverordnung oder eines Befähigungsnachweises nach der Sportseeschifferscheinverordnung,</w:t>
      </w:r>
    </w:p>
    <w:p>
      <w:pPr>
        <w:ind w:left="420"/>
      </w:pPr>
      <w:r>
        <w:t xml:space="preserve">9. anerkannte Organisationeine nach der Richtlinie 2009/15/EG anerkannte Klassifikationsgesellschaft, mit der ein Auftragsverhältnis im Sinne des Artikels 5 Absatz 2 der Richtlinie 2009/15/EG begründet worden ist,</w:t>
      </w:r>
    </w:p>
    <w:p>
      <w:pPr>
        <w:ind w:left="420"/>
      </w:pPr>
      <w:r>
        <w:t xml:space="preserve">10. Berufsgenossenschaftdie Dienststelle Schiffssicherheit bei der Berufsgenossenschaft Verkehrswirtschaft Post-Logistik Telekommunikation.</w:t>
      </w:r>
    </w:p>
    <w:p>
      <w:r>
        <w:t xml:space="preserve">(2) Für die Begriffe „Küstengewässer“, „küstennahe Seegewässer” und „weltweite Fahrt” ist § 1 Absatz 2 der Sportseeschifferscheinverordnung in der Fassung der Bekanntmachung vom 3. März 1998 (BGBl. I S. 394), die zuletzt durch Artikel 4 der Verordnung vom 7. April 2010 (BGBl. I S. 399) geändert worden ist, in der jeweils geltenden Fassung anzuwenden.</w:t>
      </w:r>
    </w:p>
    <w:p>
      <w:r>
        <w:rPr>
          <w:color w:val="555555"/>
          <w:sz w:val="17"/>
        </w:rPr>
        <w:t xml:space="preserve">Zitiervorschlag: § 2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