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SeeSpbootV — Gewerbsmäßige Folgenutzung im Ausland</w:t>
      </w:r>
    </w:p>
    <w:p>
      <w:r>
        <w:rPr>
          <w:color w:val="555555"/>
          <w:sz w:val="18"/>
        </w:rPr>
        <w:t xml:space="preserve">See-Sportbootverordnung</w:t>
      </w:r>
    </w:p>
    <w:p>
      <w:r>
        <w:rPr>
          <w:color w:val="555555"/>
          <w:sz w:val="18"/>
        </w:rPr>
        <w:t xml:space="preserve">Stand: 04.12.2024 (konsolidierte Textfassung, kein amtliches Inkrafttretensdatum)</w:t>
      </w:r>
    </w:p>
    <w:p>
      <w:r>
        <w:t xml:space="preserve">(1) Für ein Wasserfahrzeug unter deutscher Flagge, das zu Sport- und Freizeitzwecken gebaut oder gewidmet wurde, gilt § 14 auch im Fall der gewerbsmäßigen Nutzung im Ausland.</w:t>
      </w:r>
    </w:p>
    <w:p>
      <w:r>
        <w:t xml:space="preserve">(2) Deutsche mit Wohnsitz im Geltungsbereich des Grundgesetzes, die im Ausland ein dem § 14 Absatz 2 entsprechendes Wasserfahrzeug zum Zweck der gewerbsmäßigen Nutzung führen, bedürfen einer Fahrerlaubnis nach § 15 sowie eines Funkbetriebszeugnisses. Funkbetriebszeugnisse nach Satz 1 sind mindestens das UKW-Betriebszeugnis I im Sinne des § 2 Abs. 1 Nr. 3 Buchstabe d der Verordnung über Seefunkzeugnisse oder das Beschränkt Gültige Funkbetriebszeugnis (SRC) im Sinne des Abschnitts A Nr. 1 Buchstabe b Doppelbuchstabe bb der Anlage 3 zu § 13 Abs. 4a der Schiffssicherheitsverordnung.</w:t>
      </w:r>
    </w:p>
    <w:p>
      <w:r>
        <w:rPr>
          <w:color w:val="555555"/>
          <w:sz w:val="17"/>
        </w:rPr>
        <w:t xml:space="preserve">Zitiervorschlag: § 19 SeeSpbootV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https://recht.nulegal.eu/gesetze/SeeSpbootV/19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