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SeeSpbootV — Vermietung im Ausland</w:t>
      </w:r>
    </w:p>
    <w:p>
      <w:r>
        <w:rPr>
          <w:color w:val="555555"/>
          <w:sz w:val="18"/>
        </w:rPr>
        <w:t xml:space="preserve">See-Sportbootverordnung</w:t>
      </w:r>
    </w:p>
    <w:p>
      <w:r>
        <w:rPr>
          <w:color w:val="555555"/>
          <w:sz w:val="18"/>
        </w:rPr>
        <w:t xml:space="preserve">Stand: 16.11.2019 (konsolidierte Textfassung, kein amtliches Inkrafttretensdatum)</w:t>
      </w:r>
    </w:p>
    <w:p>
      <w:r>
        <w:t xml:space="preserve">(1) Für Sportboote unter deutscher Flagge, die im Ausland vermietet werden, sind § 5 Abs. 1 bis 3 sowie Abs. 4 Satz 1 Nr. 1 und Satz 2, §§ 7, 10 Abs. 1 Satz 1 und Abs. 2, §§ 11 und 12 anzuwenden. Liegen Anhaltspunkte dafür vor, dass die Voraussetzungen des § 5 Abs. 4 Satz 1 Nr. 1 gegeben sind, kann die Zulassungsbehörde einen Besichtiger der Berufsgenossenschaft oder einen ortsansässigen Besichtiger einer anerkannten Organisation beauftragen, eine Nachbesichtigung durchzuführen.</w:t>
      </w:r>
    </w:p>
    <w:p>
      <w:r>
        <w:t xml:space="preserve">(2) Zulassungsbehörde ist das vom Bundesministerium für Verkehr und digitale Infrastruktur im Verkehrsblatt oder Bundesanzeiger bekanntgemachte Wasserstraßen- und Schifffahrtsamt.</w:t>
      </w:r>
    </w:p>
    <w:p>
      <w:r>
        <w:t xml:space="preserve">(3) Für die Erteilung oder Verlängerung eines Bootszeugnisses sind die §§ 6 und 8 entsprechend anzuwenden. Bei Sportbooten mit ausländischem Liegeplatz kann die Untersuchung durch einen Besichtiger der Berufsgenossenschaft oder einen ortsansässigen Besichtiger einer anerkannten Organisation durchgeführt werden.</w:t>
      </w:r>
    </w:p>
    <w:p>
      <w:r>
        <w:t xml:space="preserve">(4) Für die Unterhaltung des Sportbootes ist § 9 entsprechend anzuwenden. Die Untersuchung kann durch einen Besichtiger der Berufsgenossenschaft oder einen ortsansässigen Besichtiger einer anerkannten Organisation durchgeführt werden.</w:t>
      </w:r>
    </w:p>
    <w:p>
      <w:r>
        <w:t xml:space="preserve">(5) Die Pflicht zum Besitz eines Bootszeugnisses besteht nicht, wenn der jeweilige Staat für Sportboote unter deutscher Flagge ein eigenes Sicherheitszeugnis vorschreibt.</w:t>
      </w:r>
    </w:p>
    <w:p>
      <w:r>
        <w:rPr>
          <w:color w:val="555555"/>
          <w:sz w:val="17"/>
        </w:rPr>
        <w:t xml:space="preserve">Zitiervorschlag: § 18 SeeSpbootV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https://recht.nulegal.eu/gesetze/SeeSpbootV/18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