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SeeSpbootV — Sicherheitszeugnis</w:t>
      </w:r>
    </w:p>
    <w:p>
      <w:r>
        <w:rPr>
          <w:color w:val="555555"/>
          <w:sz w:val="18"/>
        </w:rPr>
        <w:t xml:space="preserve">See-Sportbootverordnung</w:t>
      </w:r>
    </w:p>
    <w:p>
      <w:r>
        <w:rPr>
          <w:color w:val="555555"/>
          <w:sz w:val="18"/>
        </w:rPr>
        <w:t xml:space="preserve">Stand: 04.12.2024 (konsolidierte Textfassung, kein amtliches Inkrafttretensdatum)</w:t>
      </w:r>
    </w:p>
    <w:p>
      <w:r>
        <w:t xml:space="preserve">(1) Ein Wasserfahrzeug, das zu Sport- und Freizeitzwecken gebaut oder gewidmet wurde, unterliegt den Bestimmungen der Schiffssicherheitsverordnung vom 18. September 1998 (BGBl. I S. 3013, 3023) in der jeweilig geltenden Fassung, sobald es gewerbsmäßig genutzt wird.</w:t>
      </w:r>
    </w:p>
    <w:p>
      <w:r>
        <w:t xml:space="preserve">(2) Abweichend von Absatz 1 gilt für Wasserfahrzeuge im Sinne des § 14 Absatz 1 im Fall der Überlassung einer Koje oder Kabine gegen Entgelt zu Sport und Freizeitzwecken (Kojencharterboote) und für Wasserfahrzeuge, die mit Gestellung eines Bootsführers oder einer Besatzung gegen Entgelt zu Sport- und Freizeitzwecken überlassen oder die in der Sportausbildung eingesetzt werden, Regel 10.3 in Kapitel 3 des Teil 6 der Anlage 1a der Schiffssicherheitsverordnung nicht.</w:t>
      </w:r>
    </w:p>
    <w:p>
      <w:r>
        <w:rPr>
          <w:color w:val="555555"/>
          <w:sz w:val="17"/>
        </w:rPr>
        <w:t xml:space="preserve">Zitiervorschlag: § 14 SeeSpbootV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https://recht.nulegal.eu/gesetze/SeeSpbootV/14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