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Anhang EV SeeSchStrO 1971 — Auszug aus EinigVtr Anlage I Kapitel XI Sachgebiet D Abschnitt III (BGBl. II 1990, 889, 1108)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Bundesrecht tritt in dem in Artikel 3 des Vertrages genannten Gebiet mit folgenden Maßgaben in Kraft: 1. - 7. ...</w:t>
      </w:r>
    </w:p>
    <w:p>
      <w:pPr>
        <w:ind w:left="420"/>
      </w:pPr>
      <w:r>
        <w:t xml:space="preserve">8. Seeschiffahrtsstraßen-Ordnung in der Fassung der Bekanntmachung vom 15. April 1987 (BGBl. I S. 1266), geändert durch Verordnung vom 8. August 1989 (BGBl. I S. 1583),mit folgender Maßgabe:Sämtliche bisherigen Seegewässer der Deutschen Demokratischen Republik gelten bis zu einer anderweitigen Regelung als Seeschiffahrtsstraßen im Sinne dieser Verordnung.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https://recht.nulegal.eu/gesetze/SeeSchStrO%201971/anhang-ev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