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SeeSchStrO 1971 — Fahrregeln und Festmachen auf dem Gieselaukanal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Befahren des Gieselaukanals ist nur während der Tagfahrzeiten im Sinne des § 50 Abs. 2 gestattet.</w:t>
      </w:r>
    </w:p>
    <w:p>
      <w:r>
        <w:t xml:space="preserve">(2) Sportfahrzeuge dürfen nur für eine Übernachtung und nur an der südlich der Gieselauschleuse befindlichen Liegestelle festmachen.</w:t>
      </w:r>
    </w:p>
    <w:p>
      <w:r>
        <w:rPr>
          <w:color w:val="555555"/>
          <w:sz w:val="17"/>
        </w:rPr>
        <w:t xml:space="preserve">Zitiervorschlag: § 53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