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SeeSchStrO 1971 — Fahrregeln für Freifahrer und Schub- und Schleppverbände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Freifahrer dürfen bei verminderter Sicht auf dem Nord-Ostsee-Kanal nur fahren, wenn</w:t>
      </w:r>
    </w:p>
    <w:p>
      <w:pPr>
        <w:ind w:left="420"/>
      </w:pPr>
      <w:r>
        <w:t xml:space="preserve">1. das Radargerät einwandfrei arbeitet und</w:t>
      </w:r>
    </w:p>
    <w:p>
      <w:pPr>
        <w:ind w:left="420"/>
      </w:pPr>
      <w:r>
        <w:t xml:space="preserve">2. sich außer dem Fahrzeugführer eine fachkundige Person zur Bedienung des Radargerätes auf der Brücke befindet.</w:t>
      </w:r>
    </w:p>
    <w:p>
      <w:r>
        <w:t xml:space="preserve">Andernfalls hat das Fahrzeug die Kanalfahrt zu unterbrechen und im nächsten Weichengebiet nach Möglichkeit hinter den Dalben oder an der nächsten Liegestelle festzumachen.</w:t>
      </w:r>
    </w:p>
    <w:p>
      <w:r>
        <w:t xml:space="preserve">(2) Freifahrer und Schub- und Schleppverbände, welche die nach § 60 Abs. 1 bekanntgemachten Voraussetzungen für die Nachtfahrt nicht erfüllen, dürfen nur während der nach § 60 Abs. 1 bekanntgemachten Zeiten (Tagfahrzeiten) den Nord-Ostsee-Kanal befahren. Außerhalb dieser Zeiten ist gestattet</w:t>
      </w:r>
    </w:p>
    <w:p>
      <w:pPr>
        <w:ind w:left="420"/>
      </w:pPr>
      <w:r>
        <w:t xml:space="preserve">1. das Einlaufen in die Schleusen von den Binnenhäfen aus und das Auslaufen in diese,</w:t>
      </w:r>
    </w:p>
    <w:p>
      <w:pPr>
        <w:ind w:left="420"/>
      </w:pPr>
      <w:r>
        <w:t xml:space="preserve">2. die Weiterfahrt bis zum Kreishafen Rendsburg, wenn die Weiche Breiholz oder die Weiche Audorf/Rade vor Ablauf der Tagfahrzeit erreicht wird,</w:t>
      </w:r>
    </w:p>
    <w:p>
      <w:pPr>
        <w:ind w:left="420"/>
      </w:pPr>
      <w:r>
        <w:t xml:space="preserve">3. die Weiterfahrt bis zur Ausgangsschleuse, wenn die Weiche Dükerswisch oder Groß-Nordsee vor Ablauf der Tagfahrzeit erreicht wird.</w:t>
      </w:r>
    </w:p>
    <w:p>
      <w:r>
        <w:t xml:space="preserve">(3) Freifahrer der Verkehrsgruppe 1 dürfen nicht mehr als ein Sportfahrzeug mit einer Länge bis zu 15 Meter während der Tagfahrzeiten schleppen; ein solcher Schleppverband gilt für die Verkehrslenkung als alleinfahrendes Fahrzeug.</w:t>
      </w:r>
    </w:p>
    <w:p>
      <w:r>
        <w:t xml:space="preserve">(4) Schleppverbände haben bei verminderter Sicht und bei Sturm die Kanalfahrt zu unterbrechen und möglichst in einem Weichengebiet festzumachen.</w:t>
      </w:r>
    </w:p>
    <w:p>
      <w:r>
        <w:rPr>
          <w:color w:val="555555"/>
          <w:sz w:val="17"/>
        </w:rPr>
        <w:t xml:space="preserve">Zitiervorschlag: § 50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