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SeeSchStrO 1971 — Verbot des Einlaufens in die Schleusen und des Auslaufens</w:t>
      </w:r>
    </w:p>
    <w:p>
      <w:r>
        <w:rPr>
          <w:color w:val="555555"/>
          <w:sz w:val="18"/>
        </w:rPr>
        <w:t xml:space="preserve">Seeschiffahrtsstraßen-Ordnung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Bei verminderter Sicht dürfen Fahrzeuge nicht aus den Schleusen nach den Binnenhäfen und in Kiel-Holtenau auch nicht nach dem Schleusenvorhafen auslaufen, solange von dort andere Fahrzeuge in die Schleusen einlaufen.</w:t>
      </w:r>
    </w:p>
    <w:p>
      <w:r>
        <w:t xml:space="preserve">(2) In Brunsbüttel dürfen Fahrzeuge nicht in den Schleusenvorhafen auslaufen, solange andere Fahrzeuge von der Elbe her in den jeweiligen Schleusenvorhafen einlaufen. Fahrzeuge mit einem bestimmten Tiefgang dürfen bei nach § 60 Abs. 1 bekanntgemachten Wasserständen nicht in die Schleusen einlaufen oder aus ihnen auslaufen.</w:t>
      </w:r>
    </w:p>
    <w:p>
      <w:r>
        <w:rPr>
          <w:color w:val="555555"/>
          <w:sz w:val="17"/>
        </w:rPr>
        <w:t xml:space="preserve">Zitiervorschlag: § 47 SeeSchStrO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https://recht.nulegal.eu/gesetze/SeeSchStrO%201971/47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