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SeeSchStrO 1971 — Fahrpläne für Fahrgastschiffe und Fähren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Fahrgastschiffe und Fähren dürfen die Fahrgastbeförderung nur von Anlegestellen aus durchführen, die nach § 31 Abs. 1 Nr. 2 und Abs. 3 des Bundeswasserstraßengesetzes genehmigt oder rechtmäßig vorhanden sind. Die Vorschriften über Bewilligungen, Erlaubnisse und Genehmigungen für die Einrichtung der Anlegestellen, die Fahrgastschiffahrt und den Fährbetrieb bleiben unberührt.</w:t>
      </w:r>
    </w:p>
    <w:p>
      <w:r>
        <w:t xml:space="preserve">(2) Wer Fahrgastschiffe oder Fähren zu regelmäßigen Fahrten einsetzen will, hat den Fahrplan mit den Abfahrts- und Ankunftszeiten und den Anlegestellen spätestens zwei Wochen vor Beginn der Fahrten dem zuständigen Wasserstraßen- und Schifffahrtsamt vorzulegen. Die Fahrten sind nach den im Fahrplan angegebenen Zeiten durchzuführen. Jede Fahrplanänderung ist zwei Wochen, bevor sie in Kraft treten soll, der nach Satz 1 zuständigen Behörde mitzuteilen.</w:t>
      </w:r>
    </w:p>
    <w:p>
      <w:r>
        <w:t xml:space="preserve">(3) Der Unternehmer hat auf Verlangen des zuständigen Wasserstraßen- und Schifffahrtsamtes den Fahrplan so zu ändern, daß Beeinträchtigungen der Sicherheit und Leichtigkeit des Verkehrs an den Anlegestellen und im Fahrwasser vermieden werden.</w:t>
      </w:r>
    </w:p>
    <w:p>
      <w:r>
        <w:t xml:space="preserve">(4) Das Ausbooten von Fahrgästen und das Übersteigen von Fahrgästen von einem Fahrzeug auf ein anderes ist verboten, es sei denn, örtliche Verhältnisse oder besondere Umstände erfordern dies.</w:t>
      </w:r>
    </w:p>
    <w:p>
      <w:r>
        <w:rPr>
          <w:color w:val="555555"/>
          <w:sz w:val="17"/>
        </w:rPr>
        <w:t xml:space="preserve">Zitiervorschlag: § 39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