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38 SeeSchStrO 1971 — Ausübung der Fischerei und der Jagd</w:t>
      </w:r>
    </w:p>
    <w:p>
      <w:r>
        <w:rPr>
          <w:color w:val="555555"/>
          <w:sz w:val="18"/>
        </w:rPr>
        <w:t xml:space="preserve">Seeschiffahrtsstraßen-Ordnung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den nach § 60 Abs. 1 bekanntgemachten Wasserflächen ist das Fischen für bestimmte Arten der Fischerei, Schießen oder Jagen verboten. Für Fahrzeuge der Berufsfischerei gilt das Ankerverbot nicht im Fahrwasser, mit Ausnahme auf den nach Satz 1 bekanntgemachten Wasserflächen.</w:t>
      </w:r>
    </w:p>
    <w:p>
      <w:r>
        <w:rPr>
          <w:color w:val="555555"/>
          <w:sz w:val="17"/>
        </w:rPr>
        <w:t xml:space="preserve">Zitiervorschlag: § 38 SeeSchStrO 1971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https://recht.nulegal.eu/gesetze/SeeSchStrO%201971/38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