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SeeSchStrO 1971 — Umschlag bestimmter gefährlicher Güter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Umschlag bestimmter gefährlicher Güter (§ 2 Abs. 1 Nr. 16) ist nur auf den hierfür nach § 60 Abs. 1 bekanntgemachten Reeden und Liegestellen und nur unter Einhaltung der bekanntgemachten Voraussetzungen gestattet. Der Umschlag ist der zuständigen Schiffahrtspolizeibehörde rechtzeitig vorher anzuzeigen.</w:t>
      </w:r>
    </w:p>
    <w:p>
      <w:r>
        <w:t xml:space="preserve">(2) Während des Umschlags darf an einem Fahrzeug, das bestimmte gefährliche Güter befördert, auf jeder Seite jeweils nur ein am Umschlag beteiligtes Fahrzeug längsseits liegen.</w:t>
      </w:r>
    </w:p>
    <w:p>
      <w:r>
        <w:t xml:space="preserve">(3) Am Umschlag nicht beteiligte Fahrzeuge haben von den am Umschlag beteiligten Fahrzeugen, die bestimmte gefährliche Güter befördern, einen ausreichenden Sicherheitsabstand zu halten, anderenfalls den Anker- oder Liegeplatz zu räumen.</w:t>
      </w:r>
    </w:p>
    <w:p>
      <w:r>
        <w:t xml:space="preserve">(4) Nach Beendigung des Umschlags hat das Fahrzeug die Reede oder Liegestelle unverzüglich zu verlassen.</w:t>
      </w:r>
    </w:p>
    <w:p>
      <w:r>
        <w:t xml:space="preserve">(5) Unberührt bleiben alle sonstigen Vorschriften, die den Umgang mit gefährlichen Gütern betreffen.</w:t>
      </w:r>
    </w:p>
    <w:p>
      <w:r>
        <w:rPr>
          <w:color w:val="555555"/>
          <w:sz w:val="17"/>
        </w:rPr>
        <w:t xml:space="preserve">Zitiervorschlag: § 36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