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SeeSchStrO 1971 — Fahrbeschränkungen und Fahrverbote</w:t>
      </w:r>
    </w:p>
    <w:p>
      <w:r>
        <w:rPr>
          <w:color w:val="555555"/>
          <w:sz w:val="18"/>
        </w:rPr>
        <w:t xml:space="preserve">Seeschiffahrtsstraßen-Ordnung</w:t>
      </w:r>
    </w:p>
    <w:p>
      <w:r>
        <w:rPr>
          <w:color w:val="555555"/>
          <w:sz w:val="18"/>
        </w:rPr>
        <w:t xml:space="preserve">Stand: 10.06.2019 (konsolidierte Textfassung, kein amtliches Inkrafttretensdatum)</w:t>
      </w:r>
    </w:p>
    <w:p>
      <w:r>
        <w:t xml:space="preserve">(1) Die Seeschiffahrtsstraßen Jade, Weser, Hunte, Elbe, Nord-Ostsee-Kanal, Kieler Förde und Trave sowie die Wasserflächen der Zufahrten zu den Häfen Wismar, Rostock mit Warnow, Stralsund mit Gellenstrom, Landtief und Osttief und Wolgast dürfen von den nachstehend aufgeführten Fahrzeugen, von denen auf Grund der Art der beförderten Ladung besondere Gefahren für die übrige Schiffahrt ausgehen können, nur unter den in Absatz 2 genannten Voraussetzungen befahren werden:</w:t>
      </w:r>
    </w:p>
    <w:p>
      <w:pPr>
        <w:ind w:left="420"/>
      </w:pPr>
      <w:r>
        <w:t xml:space="preserve">1. Tankschiffe und Schub- und Schleppverbände, welche</w:t>
      </w:r>
    </w:p>
    <w:p>
      <w:pPr>
        <w:ind w:left="780"/>
      </w:pPr>
      <w:r>
        <w:t xml:space="preserve">a) gasförmige Güter nach dem Internationalen Code für den Bau und die Ausrüstung von Schiffen zur Beförderung verflüssigter Gase als Massengut (IGC-Code) (VkBl. 2007 S. 8, S. 80 und S. 152), in der jeweils geltenden Fassung, außer Gase und Gasgemische der Klasse 2.2 ohne Zusatzgefahr,</w:t>
      </w:r>
    </w:p>
    <w:p>
      <w:pPr>
        <w:ind w:left="780"/>
      </w:pPr>
      <w:r>
        <w:t xml:space="preserve">b) flüssige Chemikalien nach dem Internationalen Code für den Bau und die Ausrüstung von Schiffen zur Beförderung gefährlicher Chemikalien als Massengut (IBC-Code) (VkBl. 2007 S. 8, S. 80 und S. 152) in der jeweils geltenden Fassung, für die nach Kapitel 15 Abschnitt 15.19 des IBC-Code in vollem Umfang Überfüllsicherungen und Füllstandsalarme vorgeschrieben sind und die daher den Eintrag "15.19" in Spalte "o" der Tabelle in Kapitel 17 des Codes haben, oder</w:t>
      </w:r>
    </w:p>
    <w:p>
      <w:pPr>
        <w:ind w:left="780"/>
      </w:pPr>
      <w:r>
        <w:t xml:space="preserve">c) flüssige Güter nach Anlage I des Internationalen Übereinkommens von 1973 zur Verhütung der Meeresverschmutzung durch Schiffe mit dem Protokoll von 1978 zu dem Übereinkommen (BGBl. 1982 II S. 2) in der jeweils geltenden Fassung</w:t>
      </w:r>
    </w:p>
    <w:p>
      <w:pPr>
        <w:ind w:left="420"/>
      </w:pPr>
      <w:r>
        <w:t xml:space="preserve">als Massengut befördern,</w:t>
      </w:r>
    </w:p>
    <w:p>
      <w:pPr>
        <w:ind w:left="420"/>
      </w:pPr>
      <w:r>
        <w:t xml:space="preserve">2. Fahrzeuge, die nach dem Internationalen Code für die sichere Beförderung von verpackten bestrahlten Kernbrennstoffen, Plutonium und hochradioaktiven Abfällen mit Seeschiffen (INF-Code) (BAnz. 2000 S. 23 322), in der jeweils geltenden Fassung, die dort genannten Stoffe befördern,</w:t>
      </w:r>
    </w:p>
    <w:p>
      <w:pPr>
        <w:ind w:left="420"/>
      </w:pPr>
      <w:r>
        <w:t xml:space="preserve">3. leere Tankschiffe und Schub- und Schleppverbände nach dem Löschen der in Nummer 1 Buchstabe b oder c genannten Stoffe - ausgenommen Restmengen, die bei ordnungsgemäßer Funktionsfähigkeit der Löscheinrichtungen nicht mehr gepumpt werden können - sofern der Flammpunkt der letzten Ladung unter 35 Grad C lag und die Tanks nicht gereinigt und entgast oder vollständig inertisiert sind.</w:t>
      </w:r>
    </w:p>
    <w:p>
      <w:r>
        <w:t xml:space="preserve">(2) Voraussetzungen für das Befahren der in Absatz 1 aufgeführten Seeschiffahrtsstraßen sind:</w:t>
      </w:r>
    </w:p>
    <w:p>
      <w:pPr>
        <w:ind w:left="420"/>
      </w:pPr>
      <w:r>
        <w:t xml:space="preserve">1. Beim Einlaufen in die Seeschiffahrtsstraße oder beim Verlassen einer Liegestelle muß eine Sicht von mehr als 1 000 Metern herrschen; dies gilt nicht für Fahrzeuge mit einer Ladefähigkeit von bis zu 2 000 Tonnen, soweit die Sicht von 500 Metern nicht unterschritten wird, sowie für die unmittelbare Einfahrt in den oder Ausfahrt aus dem Nord-Ostsee-Kanal und für das Befahren des Nord-Ostsee-Kanals, ausgenommen das Verlassen eines Liegeplatzes in einem Hafen,</w:t>
      </w:r>
    </w:p>
    <w:p>
      <w:pPr>
        <w:ind w:left="420"/>
      </w:pPr>
      <w:r>
        <w:t xml:space="preserve">2. es muß ein einwandfrei arbeitendes Radargerät eingeschaltet sein,</w:t>
      </w:r>
    </w:p>
    <w:p>
      <w:pPr>
        <w:ind w:left="420"/>
      </w:pPr>
      <w:r>
        <w:t xml:space="preserve">3. bei Gebrauch einer Selbststeueranlage hat sich ein Rudergänger in der Nähe des Ruders aufzuhalten und</w:t>
      </w:r>
    </w:p>
    <w:p>
      <w:pPr>
        <w:ind w:left="420"/>
      </w:pPr>
      <w:r>
        <w:t xml:space="preserve">4. die Tankdeckel sind geschlossen zu halten.</w:t>
      </w:r>
    </w:p>
    <w:p>
      <w:r>
        <w:t xml:space="preserve">(3) Unbeschadet des Absatzes 1 können für Fahrzeuge oder Fahrzeuggruppen weitere schiffahrtspolizeiliche Voraussetzungen für das Befahren der Seeschiffahrtsstraßen oder einzelner Wasserflächen nach § 60 Abs. 1 bekanntgemacht werden.</w:t>
      </w:r>
    </w:p>
    <w:p>
      <w:r>
        <w:rPr>
          <w:color w:val="555555"/>
          <w:sz w:val="17"/>
        </w:rPr>
        <w:t xml:space="preserve">Zitiervorschlag: § 30 SeeSchStrO 1971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https://recht.nulegal.eu/gesetze/SeeSchStrO%201971/30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