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SeeSchStrO 1971 — Fahrgeschwindigkeit</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Jedes Fahrzeug, Wassermotorrad und Segelsurfbrett muß unter Beachtung von Regel 6 der Kollisionsverhütungsregeln mit einer sicheren Geschwindigkeit fahren. Fahrzeuge und Wassermotorräder haben ihre Geschwindigkeit rechtzeitig so weit zu vermindern, wie es erforderlich ist, um Gefährdungen durch Sog oder Wellenschlag zu vermeiden, insbesondere beim Vorbeifahren an</w:t>
      </w:r>
    </w:p>
    <w:p>
      <w:pPr>
        <w:ind w:left="420"/>
      </w:pPr>
      <w:r>
        <w:t xml:space="preserve">1. Häfen, Schleusen und Sperrwerken,</w:t>
      </w:r>
    </w:p>
    <w:p>
      <w:pPr>
        <w:ind w:left="420"/>
      </w:pPr>
      <w:r>
        <w:t xml:space="preserve">2. festliegenden Fähren,</w:t>
      </w:r>
    </w:p>
    <w:p>
      <w:pPr>
        <w:ind w:left="420"/>
      </w:pPr>
      <w:r>
        <w:t xml:space="preserve">3. manövrierunfähigen und festgekommenen Fahrzeugen sowie an manövrierbehinderten Fahrzeugen nach Regel 3 Buchstabe g der Kollisionsverhütungsregeln,</w:t>
      </w:r>
    </w:p>
    <w:p>
      <w:pPr>
        <w:ind w:left="420"/>
      </w:pPr>
      <w:r>
        <w:t xml:space="preserve">4. schwimmenden Geräten und schwimmenden Anlagen,</w:t>
      </w:r>
    </w:p>
    <w:p>
      <w:pPr>
        <w:ind w:left="420"/>
      </w:pPr>
      <w:r>
        <w:t xml:space="preserve">5. außergewöhnlichen Schwimmkörpern, die geschleppt werden, sowie</w:t>
      </w:r>
    </w:p>
    <w:p>
      <w:pPr>
        <w:ind w:left="420"/>
      </w:pPr>
      <w:r>
        <w:t xml:space="preserve">6. an Stellen, die durch die Sichtzeichen über Geschwindigkeitsbeschränkung oder durch die Flagge "A" des Internationalen Signalbuches gekennzeichnet sind.</w:t>
      </w:r>
    </w:p>
    <w:p>
      <w:r>
        <w:t xml:space="preserve">(2) Wird der Verkehr durch Sichtzeichen und bei verminderter Sicht zusätzlich durch Schallsignale geregelt, so ist die Geschwindigkeit so einzurichten, daß bei einer kurzfristigen Änderung des gezeigten Sichtzeichens oder des gegebenen Schallsignals das Fahrzeug sofort aufgestoppt werden kann. Wird an einer Anlage zur Regelung des Verkehrs durch Lichter kein Sichtzeichen gezeigt, so ist aufzustoppen, bis weitere Anweisung erfolgt.</w:t>
      </w:r>
    </w:p>
    <w:p>
      <w:r>
        <w:t xml:space="preserve">(3) Innerhalb von Strecken, deren Grenzen nach § 60 Abs. 1 bekanntgemacht sind, darf die bekanntgemachte Höchstgeschwindigkeit durch das Wasser, auf dem Nord-Ostsee-Kanal über Grund, nicht überschritten werden.</w:t>
      </w:r>
    </w:p>
    <w:p>
      <w:r>
        <w:t xml:space="preserve">(4) Fahrzeuge und Wassermotorräder dürfen vor Stellen mit erkennbarem Badebetrieb außerhalb des Fahrwassers in einem Abstand von weniger als 500 Metern von der jeweiligen Wasserlinie des Ufers eine Höchstgeschwindigkeit durch das Wasser von 8 Kilometern (4,3 Seemeilen) in der Stunde nicht überschreiten.</w:t>
      </w:r>
    </w:p>
    <w:p>
      <w:r>
        <w:t xml:space="preserve">(5) Segelsurfer und Kitesurfer müssen vor Stellen mit erkennbarem Badebetrieb oder gekennzeichneten Badegebieten im Wasser außerhalb des Fahrwassers einen Abstand von mindestens 50 Metern von der seeseitigen Begrenzung des Badegebietes und gegenüber allen Badenden einhalten. Die Geschwindigkeit ist so anzupassen, dass eine Gefährdung, Schädigung oder Behinderung der Badenden ausgeschlossen ist und Belästigungen auf ein nach den Umständen unvermeidbares Maß reduziert werden.</w:t>
      </w:r>
    </w:p>
    <w:p>
      <w:r>
        <w:rPr>
          <w:color w:val="555555"/>
          <w:sz w:val="17"/>
        </w:rPr>
        <w:t xml:space="preserve">Zitiervorschlag: § 26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