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SeeSchStrO 1971 — Vorfahrt der Schiffahrt im Fahrwasser</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Die in den nachfolgenden Absätzen enthaltenen Regelungen gelten für Fahrzeuge im Fahrwasser abweichend von der Regel 9 Buchstabe b bis d und den Regeln 15 und 18 Buchstabe a bis c der Kollisionsverhütungsregeln.</w:t>
      </w:r>
    </w:p>
    <w:p>
      <w:r>
        <w:t xml:space="preserve">(2) Im Fahrwasser haben dem Fahrwasserverlauf folgende Fahrzeuge unabhängig davon, ob sie nur innerhalb des Fahrwassers sicher fahren können, Vorfahrt gegenüber Fahrzeugen, die</w:t>
      </w:r>
    </w:p>
    <w:p>
      <w:pPr>
        <w:ind w:left="420"/>
      </w:pPr>
      <w:r>
        <w:t xml:space="preserve">1. in das Fahrwasser einlaufen,</w:t>
      </w:r>
    </w:p>
    <w:p>
      <w:pPr>
        <w:ind w:left="420"/>
      </w:pPr>
      <w:r>
        <w:t xml:space="preserve">2. das Fahrwasser queren,</w:t>
      </w:r>
    </w:p>
    <w:p>
      <w:pPr>
        <w:ind w:left="420"/>
      </w:pPr>
      <w:r>
        <w:t xml:space="preserve">3. im Fahrwasser drehen,</w:t>
      </w:r>
    </w:p>
    <w:p>
      <w:pPr>
        <w:ind w:left="420"/>
      </w:pPr>
      <w:r>
        <w:t xml:space="preserve">4. ihre Anker- oder Liegeplätze verlassen.</w:t>
      </w:r>
    </w:p>
    <w:p>
      <w:r>
        <w:t xml:space="preserve">(3) Sofern Segelfahrzeuge nicht deutlich der Richtung eines Fahrwassers folgen, haben sie sich untereinander nach den Kollisionsverhütungsregeln zu verhalten, wenn sie dadurch vorfahrtberechtigte Fahrzeuge nicht gefährden oder behindern.</w:t>
      </w:r>
    </w:p>
    <w:p>
      <w:r>
        <w:t xml:space="preserve">(4) Fahrzeuge im Fahrwasser haben unabhängig davon, ob sie dem Fahrwasserverlauf folgen, Vorfahrt vor Fahrzeugen, die in dieses Fahrwasser aus einem abzweigenden oder einmündenden Fahrwasser einlaufen.</w:t>
      </w:r>
    </w:p>
    <w:p>
      <w:r>
        <w:t xml:space="preserve">(5) Nähern sich Fahrzeuge einer Engstelle, die nicht mit Sicherheit hinreichenden Raum für die gleichzeitige Durchfahrt gewährt, oder einer durch das Sichtzeichen A.2 der Anlage I gekennzeichneten Stelle des Fahrwassers von beiden Seiten, so hat Vorfahrt</w:t>
      </w:r>
    </w:p>
    <w:p>
      <w:pPr>
        <w:ind w:left="420"/>
      </w:pPr>
      <w:r>
        <w:t xml:space="preserve">1. in Tidegewässern und in tidefreien Gewässern mit Strömung das mit dem Strom fahrende Fahrzeug, bei Stromstillstand das Fahrzeug, das vorher gegen den Strom gefahren ist,</w:t>
      </w:r>
    </w:p>
    <w:p>
      <w:pPr>
        <w:ind w:left="420"/>
      </w:pPr>
      <w:r>
        <w:t xml:space="preserve">2. in tidefreien Gewässern ohne Strömung das Fahrzeug, das grundsätzlich die Steuerbordseite des Fahrwassers zu benutzen hat.</w:t>
      </w:r>
    </w:p>
    <w:p>
      <w:r>
        <w:t xml:space="preserve">Das wartepflichtige Fahrzeug muß außerhalb der Engstelle so lange warten, bis das andere Fahrzeug vorbeigefahren ist.</w:t>
      </w:r>
    </w:p>
    <w:p>
      <w:r>
        <w:t xml:space="preserve">(6) Ein Fahrzeug, das die Vorfahrt zu gewähren hat, muß rechtzeitig durch sein Fahrverhalten erkennen lassen, daß es warten wird. Es darf nur weiterfahren, wenn es übersehen kann, daß die Schiffahrt nicht beeinträchtigt wird.</w:t>
      </w:r>
    </w:p>
    <w:p>
      <w:r>
        <w:rPr>
          <w:color w:val="555555"/>
          <w:sz w:val="17"/>
        </w:rPr>
        <w:t xml:space="preserve">Zitiervorschlag: § 25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