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SeeSchStrO 1971 — Grundsätze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Fahrregeln dieses Abschnitts sowie des siebenten Abschnitts gelten unabhängig von den Sichtverhältnissen. Abweichend von den Regeln 11 und 19 der Kollisionsverhütungsregeln gelten die Regel 13 Buchstabe a und c und Regel 14 Buchstabe a und c der Kollisionsverhütungsregeln im Fahrwasser auch dann, wenn die Fahrzeuge einander nicht in Sicht, aber mittels Radar geortet haben.</w:t>
      </w:r>
    </w:p>
    <w:p>
      <w:r>
        <w:t xml:space="preserve">(2) Beim Begegnen, Überholen und Vorbeifahren an Fahrzeugen und Anlagen ist ein sicherer Passierabstand nach Regel 8 Buchstabe d der Kollisionsverhütungsregeln einzuhalten.</w:t>
      </w:r>
    </w:p>
    <w:p>
      <w:r>
        <w:t xml:space="preserve">(3) Im Fahrwasser müssen die Buganker klar zum sofortigen Fallen sein. Dies gilt nicht für Fahrzeuge von weniger als 20 Metern Länge.</w:t>
      </w:r>
    </w:p>
    <w:p>
      <w:r>
        <w:rPr>
          <w:color w:val="555555"/>
          <w:sz w:val="17"/>
        </w:rPr>
        <w:t xml:space="preserve">Zitiervorschlag: § 21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