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SeeSchStrO 1971 — Begriffsbestimmungen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Für diese Verordnung gelten die Begriffsbestimmungen der Regeln 3, 21 und 32 der Kollisionsverhütungsregeln; im übrigen sind im Sinne dieser Verordnung:</w:t>
      </w:r>
    </w:p>
    <w:p>
      <w:pPr>
        <w:ind w:left="420"/>
      </w:pPr>
      <w:r>
        <w:t xml:space="preserve">1. Fahrwasserdie Teile der Wasserflächen, die durch die Sichtzeichen B.11 und B.13 der Anlage 1 begrenzt oder gekennzeichnet sind oder die, soweit dies nicht der Fall ist, auf den Binnenwasserstraßen für die durchgehende Schiffahrt bestimmt sind; die Fahrwasser gelten als enge Fahrwasser im Sinne der Kollisionsverhütungsregeln;</w:t>
      </w:r>
    </w:p>
    <w:p>
      <w:pPr>
        <w:ind w:left="420"/>
      </w:pPr>
      <w:r>
        <w:t xml:space="preserve">2. Steuerbordseiten der Fahrwasserdie Seiten, die bei den von See einlaufenden Fahrzeugen an Steuerbord liegen. Verbindet ein Fahrwasser zwei Meeresteile oder zwei durch Gründe voneinander getrennte Wasserflächen, so gilt als Steuerbordseite eines Fahrwassers die Seite, die von den Fahrzeugen an Steuerbord gelassen wird, wenn sie aus westlicher Richtung kommen, das heißt von Nord (einschließlich) über West bis Süd (ausschließlich). Ist ein solches Fahrwasser stark gekrümmt, so ist die am weitesten nördlich liegende Einfahrt für das gesamte zusammenhängende Fahrwasser maßgebend;</w:t>
      </w:r>
    </w:p>
    <w:p>
      <w:pPr>
        <w:ind w:left="420"/>
      </w:pPr>
      <w:r>
        <w:t xml:space="preserve">3. Reedendurch Sichtzeichen B.14 der Anlage I gekennzeichnete, nach § 60 Abs. 1 bekanntgemachte oder in den Seekarten eingetragene Wasserflächen zum Ankern;</w:t>
      </w:r>
    </w:p>
    <w:p>
      <w:pPr>
        <w:ind w:left="420"/>
      </w:pPr>
      <w:r>
        <w:t xml:space="preserve">4. schwimmende Gerätemanövrierbehinderte Fahrzeuge im Sinne von Regel 3 Buchstabe g der Kollisionsverhütungsregeln auch dann, wenn sie nicht in Fahrt sind, insbesondere Kräne, Rammen, Hebefahrzeuge einschließlich ihres schwimmenden Zubehörs;</w:t>
      </w:r>
    </w:p>
    <w:p>
      <w:pPr>
        <w:ind w:left="420"/>
      </w:pPr>
      <w:r>
        <w:t xml:space="preserve">5. schwimmende Anlagenschwimmende Einrichtungen, die gewöhnlich nicht zur Fortbewegung bestimmt sind, insbesondere Docks und Anlegebrücken; sie gelten im Falle der Überführung als Fahrzeuge im Sinne dieser Verordnung und im Sinne von Regel 24 Buchstabe g der Kollisionsverhütungsregeln;</w:t>
      </w:r>
    </w:p>
    <w:p>
      <w:pPr>
        <w:ind w:left="420"/>
      </w:pPr>
      <w:r>
        <w:t xml:space="preserve">6. außergewöhnliche Schwimmkörpereinzelne oder zu mehreren zusammengefaßte schwer erkennbare, teilweise getauchte oder nicht über die Wasseroberfläche hinausragende Fahrzeuge und Gegenstände, die im Wasser fortbewegt werden sollen, insbesondere Hölzer, Rohre, Faltbehälter, Sinkstücke oder ähnliche Schwimmkörper. Im Falle ihrer Fortbewegung gelten sie als geschleppte Fahrzeuge oder Gegenstände im Sinne von Regel 24 Buchstabe g der Kollisionsverhütungsregeln;</w:t>
      </w:r>
    </w:p>
    <w:p>
      <w:pPr>
        <w:ind w:left="420"/>
      </w:pPr>
      <w:r>
        <w:t xml:space="preserve">7. Schleppverbändedie Zusammenstellung von einem oder mehreren schleppenden Maschinenfahrzeugen (Schlepper) und einem oder mehreren dahinter oder daneben geschleppten Anhängen, die keine oder keine betriebsbereite Antriebsanlage besitzen oder in ihrer Manövrierfähigkeit eingeschränkt sind; Motorsportfahrzeuge, die andere Sportfahrzeuge schleppen, gelten nicht als schleppende Maschinenfahrzeuge im Sinne der Kollisionsverhütungsregeln;</w:t>
      </w:r>
    </w:p>
    <w:p>
      <w:pPr>
        <w:ind w:left="420"/>
      </w:pPr>
      <w:r>
        <w:t xml:space="preserve">7a. Maschinenfahrzeuge mit Schlepperhilfeein manövrierfähiges Maschinenfahrzeug mit betriebsklarer Maschine in Fahrt, das sich eines oder mehrerer Schlepper zur Unterstützung bedient (bugsieren); es gilt als ein allein fahrendes Maschinenfahrzeug im Sinne von Regel 23 Buchstabe a der Kollisionsverhütungsregeln;</w:t>
      </w:r>
    </w:p>
    <w:p>
      <w:pPr>
        <w:ind w:left="420"/>
      </w:pPr>
      <w:r>
        <w:t xml:space="preserve">8. Schubverbändeeine starre Verbindung von Fahrzeugen, von denen sich mindestens eines vor dem oder den Fahrzeugen mit Maschinenantrieb befindet, das oder die den Verband fortbewegen und als "schiebendes Fahrzeug" oder "schiebende Fahrzeuge" bezeichnet werden;</w:t>
      </w:r>
    </w:p>
    <w:p>
      <w:pPr>
        <w:ind w:left="420"/>
      </w:pPr>
      <w:r>
        <w:t xml:space="preserve">9. außergewöhnliche Schub- und SchleppverbändeSchub- und Schleppverbände, die die für eine Seeschiffahrtsstraße nach § 60 Abs. 1 bekanntgemachten Abmessungen nach Länge, Breite oder Tiefgang überschreiten, die die Schiffahrt außergewöhnlich behindern können oder besonderer Rücksicht durch die Schiffahrt bedürfen; sie gelten als manövrierbehinderte Fahrzeuge im Sinne von Regel 3 Buchstabe g der Kollisionsverhütungsregeln;</w:t>
      </w:r>
    </w:p>
    <w:p>
      <w:pPr>
        <w:ind w:left="420"/>
      </w:pPr>
      <w:r>
        <w:t xml:space="preserve">10. außergewöhnlich große FahrzeugeFahrzeuge, die die für eine Seeschiffahrtsstraße nach § 60 Abs. 1 bekanntgemachten Abmessungen nach Länge, Breite oder Tiefgang überschreiten;</w:t>
      </w:r>
    </w:p>
    <w:p>
      <w:pPr>
        <w:ind w:left="420"/>
      </w:pPr>
      <w:r>
        <w:t xml:space="preserve">10a. HochgeschwindigkeitsfahrzeugeFahrzeuge, die nach dem Code für Hochgeschwindigkeitsfahrzeuge (BAnz. Nr. 21a vom 3. Januar 1996) gebaut sind und entsprechend betrieben werden sowie sonstige Fahrzeuge, die entsprechend dem Code betrieben werden;</w:t>
      </w:r>
    </w:p>
    <w:p>
      <w:pPr>
        <w:ind w:left="420"/>
      </w:pPr>
      <w:r>
        <w:t xml:space="preserve">11. FahrgastschiffeFahrzeuge, die mehr als zwölf Personen gewerblich befördern oder hierfür zugelassen und eingesetzt sind;</w:t>
      </w:r>
    </w:p>
    <w:p>
      <w:pPr>
        <w:ind w:left="420"/>
      </w:pPr>
      <w:r>
        <w:t xml:space="preserve">12. FährenFahrzeuge, die dem Übersetzverkehr von einem Ufer zum anderen dienen;</w:t>
      </w:r>
    </w:p>
    <w:p>
      <w:pPr>
        <w:ind w:left="420"/>
      </w:pPr>
      <w:r>
        <w:t xml:space="preserve">13. Wegerechtschiffe</w:t>
      </w:r>
    </w:p>
    <w:p>
      <w:pPr>
        <w:ind w:left="780"/>
      </w:pPr>
      <w:r>
        <w:t xml:space="preserve">a) Fahrzeuge mit Ausnahme der auf dem Nord-Ostsee-Kanal befindlichen, die die für eine Seeschiffahrtsstraße nach § 60 Abs. 1 bekanntgemachten Abmessungen überschreiten oder die wegen ihres Tiefgangs, ihrer Länge oder wegen anderer Eigenschaften gezwungen sind, den tiefsten Teil des Fahrwassers für sich in Anspruch zu nehmen,</w:t>
      </w:r>
    </w:p>
    <w:p>
      <w:pPr>
        <w:ind w:left="780"/>
      </w:pPr>
      <w:r>
        <w:t xml:space="preserve">b) Fahrzeuge im Bereich der Wasserflächen zwischen der seewärtigen Begrenzung im Sinne des § 1 Abs. 1 Satz 2 Nr. 1 und 2 und der seewärtigen Begrenzung des Küstenmeeres, die die nach § 60 Abs. 1 bekanntgemachten Voraussetzungen erfüllen;</w:t>
      </w:r>
    </w:p>
    <w:p>
      <w:pPr>
        <w:ind w:left="420"/>
      </w:pPr>
      <w:r>
        <w:t xml:space="preserve">sie gelten als manövrierbehinderte Fahrzeuge im Sinne von Regel 3 Buchstabe g der Kollisionsverhütungsregeln;</w:t>
      </w:r>
    </w:p>
    <w:p>
      <w:pPr>
        <w:ind w:left="420"/>
      </w:pPr>
      <w:r>
        <w:t xml:space="preserve">14. BinnenschiffeFahrzeuge, denen eine Fahrtauglichkeitsbescheinigung nach der Binnenschiffsuntersuchungsordnung vom 21. September 2018 (BGBl. I S. 1398) in der jeweils geltenden Fassung, erteilt worden ist sowie Binnenfahrzeuge unter fremder Flagge;</w:t>
      </w:r>
    </w:p>
    <w:p>
      <w:pPr>
        <w:ind w:left="420"/>
      </w:pPr>
      <w:r>
        <w:t xml:space="preserve">15. FreifahrerFahrzeuge, die von der Verpflichtung zur Annahme eines Seelotsen befreit sind;</w:t>
      </w:r>
    </w:p>
    <w:p>
      <w:pPr>
        <w:ind w:left="420"/>
      </w:pPr>
      <w:r>
        <w:t xml:space="preserve">16. bestimmte gefährliche GüterGüter der Klasse 1 - Unterklassen 1.1, 1.2, 1.3 - und der Klassen 4.1 und 5.2 des IMDG-Code deutsch (Internationaler Code für die Beförderung gefährlicher Güter mit Seeschiffen - BAnz. Nr. 158a vom 23. August 1995) in seiner jeweils geltenden Fassung, für die das zusätzliche Kennzeichen "Explosionsgefahr" vorgeschrieben ist, von mehr als 100 Kilogramm Gesamtmenge je Fahrzeug sowie die als Massengut in Tankschiffen oder Schub- und Schleppverbänden beförderten Güter im Sinne des § 30 Abs. 1 Nr. 1;</w:t>
      </w:r>
    </w:p>
    <w:p>
      <w:pPr>
        <w:ind w:left="420"/>
      </w:pPr>
      <w:r>
        <w:t xml:space="preserve">17. Flammpunktdie in Grad Celsius ausgedrückte niedrigste Temperatur, bei der sich entflammbare Dämpfe in solcher Menge entwickeln, daß sie entzündet werden können. Die in dieser Verordnung angegebenen Werte gelten für Versuche mit geschlossenem Tiegel, die in zugelassenen Prüfgeräten ermittelt werden;</w:t>
      </w:r>
    </w:p>
    <w:p>
      <w:pPr>
        <w:ind w:left="420"/>
      </w:pPr>
      <w:r>
        <w:t xml:space="preserve">18. im Rahmen der Vorschriften für den Nord-Ostsee-Kanal</w:t>
      </w:r>
    </w:p>
    <w:p>
      <w:pPr>
        <w:ind w:left="780"/>
      </w:pPr>
      <w:r>
        <w:t xml:space="preserve">a) Verkehrsgruppenfür die Verkehrslenkung eingeteilte Fahrzeuggruppen, die nach § 60 Abs. 1 bekanntgemacht sind,</w:t>
      </w:r>
    </w:p>
    <w:p>
      <w:pPr>
        <w:ind w:left="780"/>
      </w:pPr>
      <w:r>
        <w:t xml:space="preserve">b) SportfahrzeugeWasserfahrzeuge, die ausschließlich Sport- oder Erholungszwecken dienen,</w:t>
      </w:r>
    </w:p>
    <w:p>
      <w:pPr>
        <w:ind w:left="780"/>
      </w:pPr>
      <w:r>
        <w:t xml:space="preserve">c) WeichengebieteWasserflächen, die zum Warten, Begegnen oder Überholen dienen,</w:t>
      </w:r>
    </w:p>
    <w:p>
      <w:pPr>
        <w:ind w:left="780"/>
      </w:pPr>
      <w:r>
        <w:t xml:space="preserve">d) ZufahrtenWasserflächen vor den Schleusenvorhäfen des Nord-Ostsee-Kanals; sie gelten als Fahrwasser im Sinne dieser Verordnung,</w:t>
      </w:r>
    </w:p>
    <w:p>
      <w:pPr>
        <w:ind w:left="780"/>
      </w:pPr>
      <w:r>
        <w:t xml:space="preserve">e) Schleusenvorhäfendie Wasserflächen zwischen den Verbindungslinien der Außenhäupter der Schleusen und der Einfahrtsfeuer in Brunsbüttel und Kiel-Holtenau;</w:t>
      </w:r>
    </w:p>
    <w:p>
      <w:pPr>
        <w:ind w:left="420"/>
      </w:pPr>
      <w:r>
        <w:t xml:space="preserve">19. Sichtzeichen der FahrzeugeLichter, Signalkörper, Flaggen und Tafeln;</w:t>
      </w:r>
    </w:p>
    <w:p>
      <w:pPr>
        <w:ind w:left="420"/>
      </w:pPr>
      <w:r>
        <w:t xml:space="preserve">20. Signalkörper der FahrzeugeBälle, Kegel, Rhomben und Zylinder;</w:t>
      </w:r>
    </w:p>
    <w:p>
      <w:pPr>
        <w:ind w:left="420"/>
      </w:pPr>
      <w:r>
        <w:t xml:space="preserve">21. Wassermotorrädermotorisierte Wassersportgeräte, die als Personal Water Craft wie "Wasserbob", "Wasserscooter", "Jetbike" oder "Jetski" bezeichnet werden, oder sonstige gleichartige Geräte; sie gelten nicht als Fahrzeuge im Sinne dieser Verordnung;</w:t>
      </w:r>
    </w:p>
    <w:p>
      <w:pPr>
        <w:ind w:left="420"/>
      </w:pPr>
      <w:r>
        <w:t xml:space="preserve">21a. ParasailingDrachenfliegen und Fallschirmfliegen hinter einem ziehenden Wasserfahrzeug;</w:t>
      </w:r>
    </w:p>
    <w:p>
      <w:pPr>
        <w:ind w:left="420"/>
      </w:pPr>
      <w:r>
        <w:t xml:space="preserve">21b. Wassersportanhängevon Wassersportfahrzeugen gezogene aufblasbare Schwimmkörper, auf denen sich Personen befinden;</w:t>
      </w:r>
    </w:p>
    <w:p>
      <w:pPr>
        <w:ind w:left="420"/>
      </w:pPr>
      <w:r>
        <w:t xml:space="preserve">21c. KitesurfenSurfen mit einem von einem Drachen gezogenen Surfbrett;".</w:t>
      </w:r>
    </w:p>
    <w:p>
      <w:pPr>
        <w:ind w:left="420"/>
      </w:pPr>
      <w:r>
        <w:t xml:space="preserve">22. Maritime Verkehrssicherungdie von der Verkehrszentrale zur Verhütung von Kollisionen und Grundberührungen, zur Verkehrsablaufsteuerung oder zur Verhütung von der Schiffahrt ausgehender Gefahren für die Meeresumwelt gegebenen Verkehrsinformationen und Verkehrsunterstützungen sowie erlassenen Verfügungen zur Verkehrsregelung und -lenkung;</w:t>
      </w:r>
    </w:p>
    <w:p>
      <w:pPr>
        <w:ind w:left="420"/>
      </w:pPr>
      <w:r>
        <w:t xml:space="preserve">23. Verkehrsinformationennautische Warnnachrichten sowie Mitteilungen der Verkehrszentrale über die Verkehrslage, Fahrwasser- sowie Wetter- und Tideverhältnisse, die zu festgelegten Zeiten in regelmäßigen Abständen oder auf Anforderung einzelner Schiffe gegeben werden;</w:t>
      </w:r>
    </w:p>
    <w:p>
      <w:pPr>
        <w:ind w:left="420"/>
      </w:pPr>
      <w:r>
        <w:t xml:space="preserve">24. VerkehrsunterstützungenHinweise und Warnungen der Verkehrszentrale an die Schiffahrt sowie Empfehlungen im Rahmen einer Schiffsberatung von der Verkehrszentrale aus durch Seelotsen nach § 23 Abs. 1 des Gesetzes über das Seelotswesen in der Fassung der Bekanntmachung vom 13. September 1984 (BGBl. I S. 1213), zuletzt geändert durch Artikel 3 des Gesetzes vom 17. Juli 1997 (BGBl. I S. 1832), in der jeweils geltenden Fassung, die bei verminderter Sicht, auf Anforderung oder wenn die Verkehrszentrale es auf Grund der Verkehrsbeobachtung für erforderlich hält, gegeben werden und sich entsprechend den Erfordernissen der Verkehrslage, der Fahrwasser- sowie der Wetter- und Tideverhältnisse auch auf Positionen, Passierzeiten, Kurse, Geschwindigkeiten oder Manöver bestimmter Schiffe erstrecken können;</w:t>
      </w:r>
    </w:p>
    <w:p>
      <w:pPr>
        <w:ind w:left="420"/>
      </w:pPr>
      <w:r>
        <w:t xml:space="preserve">25. Verkehrsregelungenschiffahrtspolizeiliche Verfügungen der Verkehrszentrale im Einzelfall, die entsprechend den Erfordernissen der Verkehrslage, der Fahrwasser- sowie der Wetter- und Tideverhältnisse Regelungen über Vorfahrt, Überholen, Begegnen, Höchst- und Mindestgeschwindigkeiten oder über das Befahren einer Seeschiffahrtsstraße umfassen können;</w:t>
      </w:r>
    </w:p>
    <w:p>
      <w:pPr>
        <w:ind w:left="420"/>
      </w:pPr>
      <w:r>
        <w:t xml:space="preserve">26. VerkehrslenkungMaßnahmen der Verkehrszentralen am Nord-Ostsee-Kanal, durch die der Verkehr zum Zweck der Gefahrenabwehr oder der Verkehrsablaufsteuerung gelenkt wird;</w:t>
      </w:r>
    </w:p>
    <w:p>
      <w:pPr>
        <w:ind w:left="420"/>
      </w:pPr>
      <w:r>
        <w:t xml:space="preserve">27. Verkehrszentralendie von der Wasserstraßen- und Schifffahrtsverwaltung des Bundes eingerichteten Revierzentralen;</w:t>
      </w:r>
    </w:p>
    <w:p>
      <w:pPr>
        <w:ind w:left="420"/>
      </w:pPr>
      <w:r>
        <w:t xml:space="preserve">28. AISAutomatisches Schiffsidentifizierungssystem im Sinne der Regel V/19.2.4 des Internationalen Übereinkommens von 1974 zum Schutz des menschlichen Lebens auf See (BGBl. 1979 II S. 141), das zuletzt nach Maßgabe des Gesetzes vom 22. Dezember 2003 (BGBl. 2003 II S. 2018) geändert worden ist.</w:t>
      </w:r>
    </w:p>
    <w:p>
      <w:r>
        <w:t xml:space="preserve">(2) Im Sinne der Verordnung bedeutet:</w:t>
      </w:r>
    </w:p>
    <w:p>
      <w:pPr>
        <w:ind w:left="420"/>
      </w:pPr>
      <w:r>
        <w:t xml:space="preserve">1. am Tagedie Zeit von Sonnenaufgang bis Sonnenuntergang;</w:t>
      </w:r>
    </w:p>
    <w:p>
      <w:pPr>
        <w:ind w:left="420"/>
      </w:pPr>
      <w:r>
        <w:t xml:space="preserve">2. bei Nachtdie Zeit von Sonnenuntergang bis Sonnenaufgang.</w:t>
      </w:r>
    </w:p>
    <w:p>
      <w:r>
        <w:rPr>
          <w:color w:val="555555"/>
          <w:sz w:val="17"/>
        </w:rPr>
        <w:t xml:space="preserve">Zitiervorschlag: § 2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