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SeeSchStrO 1971 — Schallsignale der Binnenschiffe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Binnenschiffe, für die keine Besatzung vorgeschrieben ist, müssen die in der Regel 33 der Kollisionsverhütungsregeln vorgeschriebenen Schallsignale nicht geben.</w:t>
      </w:r>
    </w:p>
    <w:p>
      <w:r>
        <w:t xml:space="preserve">(2) Ein Schubverband im Sinne der Binnenschifffahrtsstraßen-Ordnung gilt als ein Maschinenfahrzeug und muss die für ein Maschinenfahrzeug in Regel 33 der Kollisionsverhütungsregeln vorgeschriebenen Schallsignale geben.</w:t>
      </w:r>
    </w:p>
    <w:p>
      <w:r>
        <w:rPr>
          <w:color w:val="555555"/>
          <w:sz w:val="17"/>
        </w:rPr>
        <w:t xml:space="preserve">Zitiervorschlag: § 11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