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SeeSchMeldPortalG — Abgeben von Meldungen über das Meldeportal</w:t>
      </w:r>
    </w:p>
    <w:p>
      <w:r>
        <w:rPr>
          <w:color w:val="555555"/>
          <w:sz w:val="18"/>
        </w:rPr>
        <w:t xml:space="preserve">Seeschifffahrt-Meldeportal-Gesetz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ersten eingehenden Meldung für ein Befahren deutscher Hoheitsgewässer oder für einen Hafenbesuch wird automatisiert eine Anlaufreferenznummer zugewiesen. Bei jeder weiteren Meldung dieser Fahrt muss der Meldende die Anlaufreferenznummer angeben.</w:t>
      </w:r>
    </w:p>
    <w:p>
      <w:r>
        <w:rPr>
          <w:color w:val="555555"/>
          <w:sz w:val="17"/>
        </w:rPr>
        <w:t xml:space="preserve">Zitiervorschlag: § 6 SeeSchMeldPortalG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https://recht.nulegal.eu/gesetze/SeeSchMeldPortalG/6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