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SeeSchMeldPortalG — Berechtigung zur Datenverarbeitung</w:t>
      </w:r>
    </w:p>
    <w:p>
      <w:r>
        <w:rPr>
          <w:color w:val="555555"/>
          <w:sz w:val="18"/>
        </w:rPr>
        <w:t xml:space="preserve">Seeschifffahrt-Meldeportal-Gesetz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zuständige Behörde ist befugt, Meldungen zum Zwecke des Abrufs durch die empfangende Stelle zu erheben und zu verarbeiten.</w:t>
      </w:r>
    </w:p>
    <w:p>
      <w:r>
        <w:t xml:space="preserve">(2) Die Datenübermittlung ist zulässig, soweit aus in einer in der jeweils maßgeblichen Meldevorschrift enthaltenen Befugnis Anlass und Zweck der Erhebung sowie die Datenempfänger und die zu übermittelnden Daten erkennbar sind.</w:t>
      </w:r>
    </w:p>
    <w:p>
      <w:r>
        <w:rPr>
          <w:color w:val="555555"/>
          <w:sz w:val="17"/>
        </w:rPr>
        <w:t xml:space="preserve">Zitiervorschlag: § 5 SeeSchMeldPortalG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https://recht.nulegal.eu/gesetze/SeeSchMeldPortalG/5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