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SeeSchMeldPortalG — Zuständigkeit, Erreichbarkeit</w:t>
      </w:r>
    </w:p>
    <w:p>
      <w:r>
        <w:rPr>
          <w:color w:val="555555"/>
          <w:sz w:val="18"/>
        </w:rPr>
        <w:t xml:space="preserve">Seeschifffahrt-Meldeportal-Gesetz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ist die vom Bundesministerium für Verkehr und digitale Infrastruktur im Bundesanzeiger bekannt gegebene Behörde der Wasserstraßen- und Schifffahrtsverwaltung.</w:t>
      </w:r>
    </w:p>
    <w:p>
      <w:r>
        <w:t xml:space="preserve">(2) Informationen über die Erreichbarkeit des Meldeportals und über weitere zugelassene Systeme werden vom Bundesministerium für Verkehr und digitale Infrastruktur im Bundesanzeiger veröffentlicht.</w:t>
      </w:r>
    </w:p>
    <w:p>
      <w:r>
        <w:t xml:space="preserve">(3) Die Bekanntmachungen und Veröffentlichungen nach den Absätzen 1 und 2 sind im Verkehrsblatt nachrichtlich zu wiederholen.</w:t>
      </w:r>
    </w:p>
    <w:p>
      <w:r>
        <w:rPr>
          <w:color w:val="555555"/>
          <w:sz w:val="17"/>
        </w:rPr>
        <w:t xml:space="preserve">Zitiervorschlag: § 4 SeeSchMeldPortalG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https://recht.nulegal.eu/gesetze/SeeSchMeldPortalG/4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