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SeeSchMeldPortalG — Geltungsbereich</w:t>
      </w:r>
    </w:p>
    <w:p>
      <w:r>
        <w:rPr>
          <w:color w:val="555555"/>
          <w:sz w:val="18"/>
        </w:rPr>
        <w:t xml:space="preserve">Seeschifffahrt-Meldeportal-Gesetz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regelt das Verfahren für Meldungen, die im Falle eines Hafenbesuchs, eines Aufenthaltes in deutschen Hoheitsgewässern oder des Befahrens deutscher Hoheitsgewässer über das Zentrale Meldeportal des Bundes abzugeben sind.</w:t>
      </w:r>
    </w:p>
    <w:p>
      <w:r>
        <w:rPr>
          <w:color w:val="555555"/>
          <w:sz w:val="17"/>
        </w:rPr>
        <w:t xml:space="preserve">Zitiervorschlag: § 1 SeeSchMeldPortalG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https://recht.nulegal.eu/gesetze/SeeSchMeldPortalG/1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