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SeeSchAÜV</w:t>
      </w:r>
    </w:p>
    <w:p>
      <w:r>
        <w:rPr>
          <w:color w:val="555555"/>
          <w:sz w:val="18"/>
        </w:rPr>
        <w:t xml:space="preserve">Seeschiffahrtsaufgaben-Übertragungsverordnung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2 des Gesetzes über die Aufgaben des Bundes auf dem Gebiet der Seeschiffahrt in der Fassung der Bekanntmachung vom 30. Juni 1977 (BGBl. I S. 1314), der durch Artikel 3 Nr. 2 des Gesetzes vom 23. Dezember 1981 (BGBl. 1982 II S. 2) geändert worden ist, wird im Einvernehmen mit dem Bundesminister des Innern und dem Bundesminister der Finanzen verordnet:</w:t>
      </w:r>
    </w:p>
    <w:p>
      <w:r>
        <w:rPr>
          <w:color w:val="555555"/>
          <w:sz w:val="17"/>
        </w:rPr>
        <w:t xml:space="preserve">Zitiervorschlag: Eingangsformel SeeSchAÜV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https://recht.nulegal.eu/gesetze/SeeSchA%C3%9CV/eingangsformel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