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SeeSchAÜV</w:t>
      </w:r>
    </w:p>
    <w:p>
      <w:r>
        <w:rPr>
          <w:color w:val="555555"/>
          <w:sz w:val="18"/>
        </w:rPr>
        <w:t xml:space="preserve">Seeschiffahrtsaufgaben-Übertragungsverordnung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Bundespolizei und die Zollverwaltung nehmen die Aufgaben nach den von den zuständigen Behörden erteilten fachlichen Weisungen wahr.</w:t>
      </w:r>
    </w:p>
    <w:p>
      <w:r>
        <w:rPr>
          <w:color w:val="555555"/>
          <w:sz w:val="17"/>
        </w:rPr>
        <w:t xml:space="preserve">Zitiervorschlag: § 2 SeeSchAÜV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https://recht.nulegal.eu/gesetze/SeeSchA%C3%9CV/2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