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SeeRVertO 1986 — Errichtung eines Fonds nach dem Haftungsübereinkommen von 1992</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Ist der Eigentümer eines Schiffes berechtigt, seine Haftung für die aus einem bestimmten Ereignis entstandenen Ansprüche wegen Ölverschmutzungsschäden nach den Vorschriften des Haftungsübereinkommens von 1992 zu beschränken, und hat er nach diesen Vorschriften für den Gesamtbetrag seiner Haftung einen Fonds in einem anderen Vertragsstaat des Haftungsübereinkommens von 1992 errichtet, so gilt für Zwangsvollstreckungen wegen eines solchen Anspruchs in das Vermögen des Schiffseigentümers § 8 Abs. 4 und 5 entsprechend. Für eine Klage wegen eines solchen Anspruchs gegen den Schiffseigentümer gilt § 8 Abs. 2 und 3 entsprechend, sofern das für die Errichtung und Verteilung des Fonds maßgebende Recht der Errichtung des Fonds diese Rechtsfolgen beilegt.</w:t>
      </w:r>
    </w:p>
    <w:p>
      <w:r>
        <w:t xml:space="preserve">(2) Absatz 1 ist nur anzuwenden, wenn der Gläubiger Zugang zu dem Gericht hat, das den Fonds verwaltet, und wenn der Fonds tatsächlich zur Befriedigung seines Anspruchs verwendet werden kann.</w:t>
      </w:r>
    </w:p>
    <w:p>
      <w:r>
        <w:rPr>
          <w:color w:val="555555"/>
          <w:sz w:val="17"/>
        </w:rPr>
        <w:t xml:space="preserve">Zitiervorschlag: § 51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SeeRVertO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