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SeeRVertO 1986 — Verzeichnis der Ansprüche</w:t>
      </w:r>
    </w:p>
    <w:p>
      <w:r>
        <w:rPr>
          <w:color w:val="555555"/>
          <w:sz w:val="18"/>
        </w:rPr>
        <w:t xml:space="preserve">Schiffahrtsrechtliche Verteilungsordnung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vom Urkundsbeamten vor der Vornahme einer Verteilung nach § 26 Abs. 2 vorzulegende Verzeichnis ist sowohl bei Ansprüchen der Anspruchsklasse A als auch bei Ansprüchen der Anspruchsklasse D gegliedert nach Ansprüchen wegen Personenschäden und Ansprüchen wegen Sachschäden.</w:t>
      </w:r>
    </w:p>
    <w:p>
      <w:r>
        <w:rPr>
          <w:color w:val="555555"/>
          <w:sz w:val="17"/>
        </w:rPr>
        <w:t xml:space="preserve">Zitiervorschlag: § 47 SeeRVertO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https://recht.nulegal.eu/gesetze/SeeRVertO%201986/47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