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SeeRVertO 1986 — Verteilung</w:t>
      </w:r>
    </w:p>
    <w:p>
      <w:r>
        <w:rPr>
          <w:color w:val="555555"/>
          <w:sz w:val="18"/>
        </w:rPr>
        <w:t xml:space="preserve">Schiffahrtsrechtliche Verteilungsordnung</w:t>
      </w:r>
    </w:p>
    <w:p>
      <w:r>
        <w:rPr>
          <w:color w:val="555555"/>
          <w:sz w:val="18"/>
        </w:rPr>
        <w:t xml:space="preserve">Stand: 02.07.2019 (konsolidierte Textfassung, kein amtliches Inkrafttretensdatum)</w:t>
      </w:r>
    </w:p>
    <w:p>
      <w:r>
        <w:t xml:space="preserve">(1) In einem Binnenschiffahrtsrechtlichen Verteilungsverfahren für Ansprüche der Anspruchsklasse A oder D haben Ansprüche wegen Beschädigung von Hafenanlagen, Hafenbecken, Wasserstraßen, Schleusen, Wehren, Brücken und Navigationshilfen Vorrang vor sonstigen Ansprüchen wegen Sachschäden.</w:t>
      </w:r>
    </w:p>
    <w:p>
      <w:r>
        <w:t xml:space="preserve">(2) Hat ein Binnenschiffahrtsrechtliches Verteilungsverfahren für Ansprüche der Anspruchsklasse A oder D Wirkung sowohl für Ansprüche wegen Personenschäden als auch für Ansprüche wegen Sachschäden, so sind gemäß § 23 Abs. 3 aus der Haftungssumme zum Zwecke der Verteilung zwei Teilsummen zu bilden. Die Höhe der Teilsummen berechnet sich abweichend von § 23 Abs. 3 Satz 2 wie folgt:</w:t>
      </w:r>
    </w:p>
    <w:p>
      <w:pPr>
        <w:ind w:left="420"/>
      </w:pPr>
      <w:r>
        <w:t xml:space="preserve">1. Handelt es sich um Ansprüche der Anspruchsklasse A, so bestimmt sich die Höhe der ersten Teilsumme nach § 5e des Binnenschiffahrtsgesetzes und die Höhe der zweiten Teilsumme nach § 5f des Binnenschiffahrtsgesetzes.</w:t>
      </w:r>
    </w:p>
    <w:p>
      <w:pPr>
        <w:ind w:left="420"/>
      </w:pPr>
      <w:r>
        <w:t xml:space="preserve">2. Handelt es sich um Ansprüche der Anspruchsklasse D, so bestimmt sich die Höhe der ersten Teilsumme nach § 5h Abs. 2 Nr. 1 des Binnenschiffahrtsgesetzes und die Höhe der zweiten Teilsumme nach § 5h Abs. 2 Nr. 2 des Binnenschiffahrtsgesetzes.</w:t>
      </w:r>
    </w:p>
    <w:p>
      <w:r>
        <w:t xml:space="preserve">Wird die Verteilung aus diesen Teilsummen vorgenommen, so werden Kosten, die aus einem Rechtsstreit über Ansprüche wegen Personenschäden entstanden sind, aus der für diese Ansprüche bestimmten Teilsumme und Kosten, die aus einem Rechtsstreit über Ansprüche wegen Sachschäden entstanden sind, aus der für diese Ansprüche bestimmten Teilsumme berichtigt.</w:t>
      </w:r>
    </w:p>
    <w:p>
      <w:r>
        <w:rPr>
          <w:color w:val="555555"/>
          <w:sz w:val="17"/>
        </w:rPr>
        <w:t xml:space="preserve">Zitiervorschlag: § 46 SeeRVertO 1986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https://recht.nulegal.eu/gesetze/SeeRVertO%201986/46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