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SeeRVertO 1986 — Erweiterung des Verfahrens auf Ansprüche wegen Personenschäden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16 Abs. 1 Satz 1 ist auf ein Binnenschiffahrtsrechtliches Verteilungsverfahren für Ansprüche der Anspruchsklasse A oder der Anspruchsklasse D nach § 1 Abs. 5 in Verbindung mit § 36 Abs. 2 mit der Maßgabe anzuwenden, daß an die Stelle des in Artikel 6 Abs. 1 Buchstabe a des Haftungsbeschränkungsübereinkommens bestimmten Haftungshöchstbetrages folgender Betrag tritt:</w:t>
      </w:r>
    </w:p>
    <w:p>
      <w:pPr>
        <w:ind w:left="420"/>
      </w:pPr>
      <w:r>
        <w:t xml:space="preserve">1. wenn es sich um Ansprüche der Anspruchsklasse A handelt, der in § 5e des Binnenschiffahrtsgesetzes bestimmte Haftungshöchstbetrag,</w:t>
      </w:r>
    </w:p>
    <w:p>
      <w:pPr>
        <w:ind w:left="420"/>
      </w:pPr>
      <w:r>
        <w:t xml:space="preserve">2. wenn es sich um Ansprüche der Anspruchsklasse D handelt, der in § 5h Abs. 2 Nr. 1 des Binnenschiffahrtsgesetzes bestimmte Haftungshöchstbetrag.</w:t>
      </w:r>
    </w:p>
    <w:p>
      <w:r>
        <w:rPr>
          <w:color w:val="555555"/>
          <w:sz w:val="17"/>
        </w:rPr>
        <w:t xml:space="preserve">Zitiervorschlag: § 44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