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SeeRVertO 1986 — Öffentliche Aufforderung bei Verfahren nur mit Wirkung für Ansprüche wegen Sachschäden</w:t>
      </w:r>
    </w:p>
    <w:p>
      <w:r>
        <w:rPr>
          <w:color w:val="555555"/>
          <w:sz w:val="18"/>
        </w:rPr>
        <w:t xml:space="preserve">Schiffahrtsrechtliche Verteilungsordnung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öffentliche Aufforderung hat, sofern das Verfahren nach § 1 Abs. 5 in Verbindung mit § 36 Abs. 2 nur mit Wirkung für Ansprüche wegen Sachschäden eröffnet worden ist, auch den in § 10 Abs. 3 genannten Inhalt.</w:t>
      </w:r>
    </w:p>
    <w:p>
      <w:r>
        <w:rPr>
          <w:color w:val="555555"/>
          <w:sz w:val="17"/>
        </w:rPr>
        <w:t xml:space="preserve">Zitiervorschlag: § 42 SeeRVertO 1986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https://recht.nulegal.eu/gesetze/SeeRVertO%201986/42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