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SeeRVertO 1986 — Wirkungen der Eröffnung</w:t>
      </w:r>
    </w:p>
    <w:p>
      <w:r>
        <w:rPr>
          <w:color w:val="555555"/>
          <w:sz w:val="18"/>
        </w:rPr>
        <w:t xml:space="preserve">Schiffahrtsrechtliche Verteilungsordnung</w:t>
      </w:r>
    </w:p>
    <w:p>
      <w:r>
        <w:rPr>
          <w:color w:val="555555"/>
          <w:sz w:val="18"/>
        </w:rPr>
        <w:t xml:space="preserve">Stand: 02.07.2019 (konsolidierte Textfassung, kein amtliches Inkrafttretensdatum)</w:t>
      </w:r>
    </w:p>
    <w:p>
      <w:r>
        <w:t xml:space="preserve">Auf die Eröffnung des Binnenschiffahrtsrechtlichen Verteilungsverfahrens ist § 8 mit der Maßgabe anzuwenden, daß an die Stelle</w:t>
      </w:r>
    </w:p>
    <w:p>
      <w:pPr>
        <w:ind w:left="420"/>
      </w:pPr>
      <w:r>
        <w:t xml:space="preserve">1. der Ansprüche, die der Haftungsbeschränkung nach den §§ 611 bis 616 des Handelsgesetzbuchs unterliegen, die Ansprüche treten, die der Haftungsbeschränkung nach den §§ 4 bis 5n des Binnenschiffahrtsgesetzes unterliegen, und</w:t>
      </w:r>
    </w:p>
    <w:p>
      <w:pPr>
        <w:ind w:left="420"/>
      </w:pPr>
      <w:r>
        <w:t xml:space="preserve">2. der Ansprüche, die im Falle des § 1 Abs. 5 zu den Ansprüchen wegen Sachschäden gehören, die Ansprüche treten, die im Falle des § 1 Abs. 5 in Verbindung mit § 36 Abs. 2 zu den Ansprüchen wegen Sachschäden gehören.</w:t>
      </w:r>
    </w:p>
    <w:p>
      <w:r>
        <w:rPr>
          <w:color w:val="555555"/>
          <w:sz w:val="17"/>
        </w:rPr>
        <w:t xml:space="preserve">Zitiervorschlag: § 41 SeeRVertO 1986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https://recht.nulegal.eu/gesetze/SeeRVertO%201986/41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