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SeeRVertO 1986 — Inhalt des Eröffnungsbeschlusses</w:t>
      </w:r>
    </w:p>
    <w:p>
      <w:r>
        <w:rPr>
          <w:color w:val="555555"/>
          <w:sz w:val="18"/>
        </w:rPr>
        <w:t xml:space="preserve">Schiffahrtsrechtliche Verteilungsordnung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Beschluß über die Eröffnung des Binnenschiffahrtsrechtlichen Verteilungsverfahrens enthält außer den nach § 7 Abs. 2 Nr. 1, 4, 6 und 7 erforderlichen Feststellungen und Angaben insbesondere:</w:t>
      </w:r>
    </w:p>
    <w:p>
      <w:pPr>
        <w:ind w:left="420"/>
      </w:pPr>
      <w:r>
        <w:t xml:space="preserve">1. die Feststellung, für welchen Personenkreis im Sinne des § 35 Satz 1 das Verfahren eröffnet wird, oder, im Falle des § 36 Abs. 3 Satz 2, die Feststellung, daß das Verfahren nur für den Antragsteller eröffnet wird;</w:t>
      </w:r>
    </w:p>
    <w:p>
      <w:pPr>
        <w:ind w:left="420"/>
      </w:pPr>
      <w:r>
        <w:t xml:space="preserve">2. die Feststellung, für welche Anspruchsklasse im Sinne des § 36 Abs. 1 das Verfahren eröffnet wird, im Falle des § 1 Abs. 5 in Verbindung mit § 36 Abs. 2 auch die Feststellung, daß das Verfahren nur mit Wirkung für Ansprüche wegen Sachschäden eröffnet wird;</w:t>
      </w:r>
    </w:p>
    <w:p>
      <w:pPr>
        <w:ind w:left="420"/>
      </w:pPr>
      <w:r>
        <w:t xml:space="preserve">3. Angaben über den Namen und Registerort oder, wenn das Binnenschiff nicht in einem Schiffsregister eingetragen ist, über den Heimatort des Binnenschiffes.</w:t>
      </w:r>
    </w:p>
    <w:p>
      <w:r>
        <w:rPr>
          <w:color w:val="555555"/>
          <w:sz w:val="17"/>
        </w:rPr>
        <w:t xml:space="preserve">Zitiervorschlag: § 40 SeeRVertO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https://recht.nulegal.eu/gesetze/SeeRVertO%201986/40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