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SeeRVertO 1986 — Festsetzung der Haftungssumme</w:t>
      </w:r>
    </w:p>
    <w:p>
      <w:r>
        <w:rPr>
          <w:color w:val="555555"/>
          <w:sz w:val="18"/>
        </w:rPr>
        <w:t xml:space="preserve">Schiffahrtsrechtliche Verteilungsordnung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vom Gericht festzusetzende Haftungssumme ist vom Zeitpunkt des zur Haftung führenden Ereignisses bis zum Zeitpunkt der Errichtung des Fonds mit vier vom Hundert für das Jahr zu verzinsen.</w:t>
      </w:r>
    </w:p>
    <w:p>
      <w:r>
        <w:rPr>
          <w:color w:val="555555"/>
          <w:sz w:val="17"/>
        </w:rPr>
        <w:t xml:space="preserve">Zitiervorschlag: § 39 SeeRVertO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https://recht.nulegal.eu/gesetze/SeeRVertO%201986/39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