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SeeRVertO 1986 — Anspruchsklassen</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Abweichend von § 1 Abs. 4 zählen zu den im Binnenschiffahrtsrechtlichen Verteilungsverfahren zu bildenden Anspruchsklassen folgende Ansprüche:</w:t>
      </w:r>
    </w:p>
    <w:p>
      <w:pPr>
        <w:ind w:left="420"/>
      </w:pPr>
      <w:r>
        <w:t xml:space="preserve">1. Anspruchsklasse A: Ansprüche wegen Personen- und Sachschäden nach § 4 Abs. 1, 2 und 3 des Binnenschiffahrtsgesetzes, soweit diese nicht zur Anspruchsklasse D zählen,</w:t>
      </w:r>
    </w:p>
    <w:p>
      <w:pPr>
        <w:ind w:left="420"/>
      </w:pPr>
      <w:r>
        <w:t xml:space="preserve">2. Anspruchsklasse B: Ansprüche wegen Tötung oder Verletzung von Reisenden im Sinne von § 5k des Binnenschiffahrtsgesetzes,</w:t>
      </w:r>
    </w:p>
    <w:p>
      <w:pPr>
        <w:ind w:left="420"/>
      </w:pPr>
      <w:r>
        <w:t xml:space="preserve">3. Anspruchsklasse C: Ansprüche aus Wrackbeseitigung nach § 4 Abs. 1, 4 des Binnenschiffahrtsgesetzes,</w:t>
      </w:r>
    </w:p>
    <w:p>
      <w:pPr>
        <w:ind w:left="420"/>
      </w:pPr>
      <w:r>
        <w:t xml:space="preserve">4. Anspruchsklasse D: Ansprüche wegen Gefahrgutschäden nach § 5h Abs. 1 des Binnenschiffahrtsgesetzes.</w:t>
      </w:r>
    </w:p>
    <w:p>
      <w:r>
        <w:t xml:space="preserve">(2) Auf ein Binnenschiffahrtsrechtliches Verteilungsverfahren für Ansprüche der Anspruchsklasse A und der Anspruchsklasse D ist § 1 Abs. 5 mit folgenden Abweichungen anzuwenden:</w:t>
      </w:r>
    </w:p>
    <w:p>
      <w:pPr>
        <w:ind w:left="420"/>
      </w:pPr>
      <w:r>
        <w:t xml:space="preserve">1. In allen Fällen muß die Summe der Ansprüche wegen Sachschäden, wenn es sich um Ansprüche der Anpruchsklasse A handelt, den in § 5f des Binnenschiffahrtsgesetzes oder, wenn es sich um Ansprüche der Anspruchsklasse D handelt, den in § 5h Abs. 2 Nr. 2 des Binnenschiffahrtsgesetzes bestimmten Haftungshöchstbetrag voraussichtlich übersteigen.</w:t>
      </w:r>
    </w:p>
    <w:p>
      <w:pPr>
        <w:ind w:left="420"/>
      </w:pPr>
      <w:r>
        <w:t xml:space="preserve">2. Im Falle des § 1 Abs. 5 Nr. 1 darf, wenn Ansprüche wegen Personenschäden geltend gemacht werden können, die Summe dieser Ansprüche, wenn es sich um solche der Anspruchsklasse A handelt, den in § 5e des Binnenschiffahrtsgesetzes oder, wenn es sich um solche der Anspruchsklasse D handelt, den in § 5h Abs. 2 Nr. 1 des Binnenschiffahrtsgesetzes bestimmten Haftungshöchstbetrag voraussichtlich nicht übersteigen.</w:t>
      </w:r>
    </w:p>
    <w:p>
      <w:r>
        <w:t xml:space="preserve">(3) Ein Verteilungsverfahren erfaßt jeweils ausschließlich die aus demselben Ereignis entstandenen und zu derselben Anspruchsklasse im Sinne des Absatzes 1 gehörenden Ansprüche gegen alle Personen, die demselben Personenkreis im Sinne des § 35 Satz 1 angehören. Wird jedoch auf Antrag eines an Bord tätigen Lotsen ein Verteilungsverfahren eingeleitet, so erfaßt das Verfahren nur die Ansprüche gegen den Antragsteller; ein solches Verteilungsverfahren darf nur eröffnet werden, solange nicht für die aus demselben Ereignis entstandenen und zu derselben Anspruchsklasse gehörenden Ansprüche ein Verteilungsverfahren auf Antrag eines anderen, demselben Personenkreis im Sinne des § 35 Satz 1 angehörenden Schuldners eröffnet worden ist.</w:t>
      </w:r>
    </w:p>
    <w:p>
      <w:r>
        <w:rPr>
          <w:color w:val="555555"/>
          <w:sz w:val="17"/>
        </w:rPr>
        <w:t xml:space="preserve">Zitiervorschlag: § 36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