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SeeRVertO 1986 — Einleitung des Verteilungsverfahrens. Anwendbare Vorschriften</w:t>
      </w:r>
    </w:p>
    <w:p>
      <w:r>
        <w:rPr>
          <w:color w:val="555555"/>
          <w:sz w:val="18"/>
        </w:rPr>
        <w:t xml:space="preserve">Schiffahrtsrechtliche Verteilungsordnung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Zur Errichtung und Verteilung eines Fonds im Sinne des § 5d Abs. 2 des Binnenschiffahrtsgesetzes kann ein Binnenschiffahrtsrechtliches Verteilungsverfahren eingeleitet werden.</w:t>
      </w:r>
    </w:p>
    <w:p>
      <w:r>
        <w:t xml:space="preserve">(2) Auf das Verteilungsverfahren nach Absatz 1 sind die für das Seerechtliche Verteilungsverfahren geltenden Vorschriften des Ersten Teils dieses Gesetzes anzuwenden, soweit in den Vorschriften des Zweiten Teils nichts anderes bestimmt ist. § 1 Abs. 1 bis 4, §§ 2, 4 Abs. 1 bis 3, § 7 Abs. 2 Nr. 2, 3 und 5 sowie § 23 Abs. 2 und 3 Satz 2, Abs. 4 Satz 2 sind nicht anzuwenden.</w:t>
      </w:r>
    </w:p>
    <w:p>
      <w:r>
        <w:rPr>
          <w:color w:val="555555"/>
          <w:sz w:val="17"/>
        </w:rPr>
        <w:t xml:space="preserve">Zitiervorschlag: § 34 SeeRVertO 1986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https://recht.nulegal.eu/gesetze/SeeRVertO%201986/34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