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SeeRVertO 1986 — Zurückbehaltung bei der Verteilung</w:t>
      </w:r>
    </w:p>
    <w:p>
      <w:r>
        <w:rPr>
          <w:color w:val="555555"/>
          <w:sz w:val="18"/>
        </w:rPr>
        <w:t xml:space="preserve">Schiffahrtsrechtliche Verteilungsordnung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bei dem Beginn der Verteilung ungewiß, ob im Verlauf des Verfahrens noch Kosten entstehen werden, welche der Haftungssumme nach § 31 Abs. 2 oder nach § 32 Abs. 3 zur Last fallen, so soll das Gericht bei der Verteilung einen angemessenen Anteil für diese Kosten zurückbehalten. Die Entscheidung ist unanfechtbar; das Gericht kann sie jedoch wegen veränderter Umstände abändern.</w:t>
      </w:r>
    </w:p>
    <w:p>
      <w:r>
        <w:rPr>
          <w:color w:val="555555"/>
          <w:sz w:val="17"/>
        </w:rPr>
        <w:t xml:space="preserve">Zitiervorschlag: § 33 SeeRVertO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https://recht.nulegal.eu/gesetze/SeeRVertO%201986/33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