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SeeRVertO 1986 — Zahlung der vom Antragsteller zu tragenden Kosten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Gericht ordnet von Amts wegen die Zahlung der vom Antragsteller nach § 31 Abs. 1 zu tragenden Kosten zur Haftungssumme an.</w:t>
      </w:r>
    </w:p>
    <w:p>
      <w:r>
        <w:t xml:space="preserve">(2) Das Gericht soll die Eröffnung des Verteilungsverfahrens von der Einzahlung eines angemessenen Vorschusses auf die von dem Antragsteller nach § 31 Abs. 1 zu tragenden Kosten abhängig machen.</w:t>
      </w:r>
    </w:p>
    <w:p>
      <w:r>
        <w:t xml:space="preserve">(3) Kosten, die der Antragsteller nach § 31 Abs. 1 zu tragen hat, fallen der Haftungssumme endgültig zur Last, wenn die Zwangsvollstreckung gegen den Antragsteller wegen der Kosten ohne Erfolg versucht worden ist. In diesem Fall ist § 23 Abs. 1 bis 4 nur auf den Betrag anzuwenden, der nach Abzug dieser Kosten von der festgesetzten Haftungssumme verbleibt.</w:t>
      </w:r>
    </w:p>
    <w:p>
      <w:r>
        <w:rPr>
          <w:color w:val="555555"/>
          <w:sz w:val="17"/>
        </w:rPr>
        <w:t xml:space="preserve">Zitiervorschlag: § 32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