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31 SeeRVertO 1986 — Kostentragung</w:t>
      </w:r>
    </w:p>
    <w:p>
      <w:r>
        <w:rPr>
          <w:color w:val="555555"/>
          <w:sz w:val="18"/>
        </w:rPr>
        <w:t xml:space="preserve">Schiffahrtsrechtliche Verteilungsordnung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Antragsteller trägt folgende Kosten:</w:t>
      </w:r>
    </w:p>
    <w:p>
      <w:pPr>
        <w:ind w:left="420"/>
      </w:pPr>
      <w:r>
        <w:t xml:space="preserve">1. die Vergütung und die Auslagen des Sachwalters;</w:t>
      </w:r>
    </w:p>
    <w:p>
      <w:pPr>
        <w:ind w:left="420"/>
      </w:pPr>
      <w:r>
        <w:t xml:space="preserve">2. die von dem Sachwalter aufgewandten Kosten der Verwaltung und Verwertung von Sicherheiten.</w:t>
      </w:r>
    </w:p>
    <w:p>
      <w:r>
        <w:t xml:space="preserve">(2) Der Haftungssumme fallen folgende Kosten zur Last:</w:t>
      </w:r>
    </w:p>
    <w:p>
      <w:pPr>
        <w:ind w:left="420"/>
      </w:pPr>
      <w:r>
        <w:t xml:space="preserve">1. die Kosten von Rechtsstreitigkeiten über im Verteilungsverfahren angemeldete Ansprüche und über das Recht ihrer Gläubiger auf Teilnahme an dem Verfahren, welche aus der Prozeßführung des Sachwalters entstehen;</w:t>
      </w:r>
    </w:p>
    <w:p>
      <w:pPr>
        <w:ind w:left="420"/>
      </w:pPr>
      <w:r>
        <w:t xml:space="preserve">2. die Kosten von Rechtsstreitigkeiten, welche nach § 19 Abs. 3 dieses Gesetzes in Verbindung mit § 183 Abs. 3 der Insolvenzordnung der Haftungssumme zur Last fallen.</w:t>
      </w:r>
    </w:p>
    <w:p>
      <w:r>
        <w:rPr>
          <w:color w:val="555555"/>
          <w:sz w:val="17"/>
        </w:rPr>
        <w:t xml:space="preserve">Zitiervorschlag: § 31 SeeRVertO 1986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https://recht.nulegal.eu/gesetze/SeeRVertO%201986/31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31 SeeRVertO 1986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