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28 SeeRVertO 1986 — Weitere Verteilung</w:t>
      </w:r>
    </w:p>
    <w:p>
      <w:r>
        <w:rPr>
          <w:color w:val="555555"/>
          <w:sz w:val="18"/>
        </w:rPr>
        <w:t xml:space="preserve">Schiffahrtsrechtliche Verteilungsordnung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Sobald nach einer ersten Verteilung ein weiterer hinreichender Betrag der Haftungssumme verfügbar wird, soll eine weitere Verteilung erfolgen.</w:t>
      </w:r>
    </w:p>
    <w:p>
      <w:r>
        <w:rPr>
          <w:color w:val="555555"/>
          <w:sz w:val="17"/>
        </w:rPr>
        <w:t xml:space="preserve">Zitiervorschlag: § 28 SeeRVertO 1986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https://recht.nulegal.eu/gesetze/SeeRVertO%201986/28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28 SeeRVertO 1986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