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SeeRVertO 1986 — Erweiterung des Verfahrens auf Ansprüche wegen Personenschäden</w:t>
      </w:r>
    </w:p>
    <w:p>
      <w:r>
        <w:rPr>
          <w:color w:val="555555"/>
          <w:sz w:val="18"/>
        </w:rPr>
        <w:t xml:space="preserve">Schiffahrtsrechtliche Verteilungsordnung</w:t>
      </w:r>
    </w:p>
    <w:p>
      <w:r>
        <w:rPr>
          <w:color w:val="555555"/>
          <w:sz w:val="18"/>
        </w:rPr>
        <w:t xml:space="preserve">Stand: 10.06.2019 (konsolidierte Textfassung, kein amtliches Inkrafttretensdatum)</w:t>
      </w:r>
    </w:p>
    <w:p>
      <w:r>
        <w:t xml:space="preserve">(1) Ist das Verfahren nach § 1 Abs. 5 nur mit Wirkung für Ansprüche wegen Sachschäden eröffnet worden, so ändert das Gericht die Festsetzung der Haftungssumme ab, wenn gegen den Antragsteller Ansprüche wegen eines aus demselben Ereignis entstandenen Personenschadens angemeldet werden, für die die Haftung beschränkt werden kann und deren Summe den in Artikel 6 Abs. 1 Buchstabe a des Haftungsbeschränkungsübereinkommens bestimmten Haftungshöchstbetrag übersteigt. Nach dem Beginn des allgemeinen Prüfungstermins ist die Erweiterung des Verfahrens ausgeschlossen.</w:t>
      </w:r>
    </w:p>
    <w:p>
      <w:r>
        <w:t xml:space="preserve">(2) Das Gericht bestimmt eine Frist für die Einzahlung des Mehrbetrags.</w:t>
      </w:r>
    </w:p>
    <w:p>
      <w:r>
        <w:t xml:space="preserve">(3) Für den Beschluß über die Erhöhung der Haftungssumme gilt § 5 Abs. 2 bis 4 entsprechend.</w:t>
      </w:r>
    </w:p>
    <w:p>
      <w:r>
        <w:t xml:space="preserve">(4) Sobald der Betrag eingezahlt worden ist, um den die Haftungssumme nach Absatz 1 erhöht worden ist, beschließt das Gericht, daß das Verteilungsverfahren auch mit Wirkung für Ansprüche wegen Personenschäden eröffnet wird.</w:t>
      </w:r>
    </w:p>
    <w:p>
      <w:r>
        <w:rPr>
          <w:color w:val="555555"/>
          <w:sz w:val="17"/>
        </w:rPr>
        <w:t xml:space="preserve">Zitiervorschlag: § 16 SeeRVertO 1986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https://recht.nulegal.eu/gesetze/SeeRVertO%201986/16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