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SeeLotsEigV — Dokumentationspflichten, Zugang zum Seelotseignungsverzeichnis</w:t>
      </w:r>
    </w:p>
    <w:p>
      <w:r>
        <w:rPr>
          <w:color w:val="555555"/>
          <w:sz w:val="18"/>
        </w:rPr>
        <w:t xml:space="preserve">Seelotseignungsverordnung</w:t>
      </w:r>
    </w:p>
    <w:p>
      <w:r>
        <w:rPr>
          <w:color w:val="555555"/>
          <w:sz w:val="18"/>
        </w:rPr>
        <w:t xml:space="preserve">Stand: 28.05.2022 (konsolidierte Textfassung, kein amtliches Inkrafttretensdatum)</w:t>
      </w:r>
    </w:p>
    <w:p>
      <w:r>
        <w:t xml:space="preserve">(1) Für die Dokumentationspflichten der zugelassenen Ärztinnen oder zugelassenen Ärzte und der Ärztinnen oder der Ärzte des Seeärztlichen Dienstes gilt § 11 der Maritime-Medizin-Verordnung mit der Maßgabe entsprechend, dass anstelle der in § 19 Absatz 6 Satz 2 und 3 des Seearbeitsgesetzes vorgesehenen Daten die in § 49 Absatz 6 Satz 2 und 3 des Seelotsgesetzes vorgesehenen Daten treten.</w:t>
      </w:r>
    </w:p>
    <w:p>
      <w:r>
        <w:t xml:space="preserve">(2) Für die automatisierte Übermittlung von Daten aus dem Seelotseignungsverzeichnis gilt § 12 der Maritime-Medizin-Verordnung mit der Maßgabe entsprechend, dass anstelle der Daten nach § 19 Absatz 3 des Seearbeitsgesetzes die Daten nach § 49 Absatz 3 des Seelotsgesetzes treten.</w:t>
      </w:r>
    </w:p>
    <w:p>
      <w:r>
        <w:t xml:space="preserve">(3) Soweit nach datenschutzrechtlichen Vorschriften zum Zweck der Vermeidung von Mehrfach-Untersuchungen bei unterschiedlichen zugelassenen Ärztinnen und zugelassenen Ärzten ein Abgleich von Daten zwischen dem Seelotseignungsverzeichnis und dem Seediensttauglichkeitsverzeichnis zulässig ist, werden bei jedem Abruf von Daten aus dem Seelotseignungsverzeichnis von der Berufsgenossenschaft folgende Daten mit den entsprechenden Daten dieser Person im Seediensttauglichkeitsverzeichnis nach § 19 des Seearbeitsgesetzes abgeglichen:</w:t>
      </w:r>
    </w:p>
    <w:p>
      <w:pPr>
        <w:ind w:left="420"/>
      </w:pPr>
      <w:r>
        <w:t xml:space="preserve">1. Familienname, Vorname, Geburtsdatum und Geburtsort der untersuchten Person nach § 49 Absatz 3 Nummer 1 bis 3 des Seelotsgesetzes,</w:t>
      </w:r>
    </w:p>
    <w:p>
      <w:pPr>
        <w:ind w:left="420"/>
      </w:pPr>
      <w:r>
        <w:t xml:space="preserve">2. Sperrvermerke der Berufsgenossenschaft nach § 49 Absatz 3 Nummer 17 des Seelotsgesetzes.</w:t>
      </w:r>
    </w:p>
    <w:p>
      <w:r>
        <w:t xml:space="preserve">Unrichtige Angaben im Seelotseignungsverzeichnis sind durch die Berufsgenossenschaft zu berichtigen und an die entsprechenden Daten zu dieser Person im Seediensttauglichkeitsverzeichnis anzugleichen. Ergibt der Abgleich nach Satz 1, dass Daten im Seediensttauglichkeitsverzeichnis unrichtig sind, ist eine Berichtigung des Seediensttauglichkeitsverzeichnisses durch die registerführende Stelle zu veranlassen. Liegt eine Berichtigungsmeldung nach § 12 Absatz 5 Satz 3 der Maritime-Medizin-Verordnung vor, ist das Seelotseignungsverzeichnis zu berichtigen.</w:t>
      </w:r>
    </w:p>
    <w:p>
      <w:r>
        <w:rPr>
          <w:color w:val="555555"/>
          <w:sz w:val="17"/>
        </w:rPr>
        <w:t xml:space="preserve">Zitiervorschlag: § 8 SeeLotsEigV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https://recht.nulegal.eu/gesetze/SeeLotsEigV/8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